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A67F78" w14:textId="4980604F" w:rsidR="00254FB2" w:rsidRPr="000B74B3" w:rsidRDefault="00254FB2" w:rsidP="000B74B3">
      <w:pPr>
        <w:jc w:val="center"/>
        <w:rPr>
          <w:rFonts w:ascii="Avenir Book" w:hAnsi="Avenir Book"/>
        </w:rPr>
      </w:pPr>
      <w:r>
        <w:rPr>
          <w:rFonts w:ascii="Avenir Book" w:hAnsi="Avenir Book"/>
        </w:rPr>
        <w:t xml:space="preserve">              </w:t>
      </w:r>
    </w:p>
    <w:p w14:paraId="388339E0" w14:textId="7A89C063" w:rsidR="00BD6AB2" w:rsidRPr="00254FB2" w:rsidRDefault="00433C55" w:rsidP="00232D2B">
      <w:pPr>
        <w:jc w:val="both"/>
        <w:rPr>
          <w:rFonts w:ascii="Avenir Book" w:hAnsi="Avenir Book"/>
          <w:sz w:val="32"/>
          <w:szCs w:val="32"/>
        </w:rPr>
      </w:pPr>
      <w:r w:rsidRPr="00254FB2">
        <w:rPr>
          <w:rFonts w:ascii="Avenir Book" w:hAnsi="Avenir Book"/>
          <w:b/>
          <w:bCs/>
          <w:sz w:val="32"/>
          <w:szCs w:val="32"/>
        </w:rPr>
        <w:t xml:space="preserve">Retour vers le futur : </w:t>
      </w:r>
      <w:r w:rsidR="00BD6AB2" w:rsidRPr="00254FB2">
        <w:rPr>
          <w:rFonts w:ascii="Avenir Book" w:hAnsi="Avenir Book"/>
          <w:b/>
          <w:bCs/>
          <w:sz w:val="32"/>
          <w:szCs w:val="32"/>
        </w:rPr>
        <w:t>L’apprentissage en 20</w:t>
      </w:r>
      <w:r w:rsidR="00AB7AFD" w:rsidRPr="00254FB2">
        <w:rPr>
          <w:rFonts w:ascii="Avenir Book" w:hAnsi="Avenir Book"/>
          <w:b/>
          <w:bCs/>
          <w:sz w:val="32"/>
          <w:szCs w:val="32"/>
        </w:rPr>
        <w:t>3</w:t>
      </w:r>
      <w:r w:rsidR="00BD6AB2" w:rsidRPr="00254FB2">
        <w:rPr>
          <w:rFonts w:ascii="Avenir Book" w:hAnsi="Avenir Book"/>
          <w:b/>
          <w:bCs/>
          <w:sz w:val="32"/>
          <w:szCs w:val="32"/>
        </w:rPr>
        <w:t>5</w:t>
      </w:r>
      <w:r w:rsidRPr="00254FB2">
        <w:rPr>
          <w:rFonts w:ascii="Avenir Book" w:hAnsi="Avenir Book"/>
          <w:b/>
          <w:bCs/>
          <w:sz w:val="32"/>
          <w:szCs w:val="32"/>
        </w:rPr>
        <w:t xml:space="preserve"> </w:t>
      </w:r>
    </w:p>
    <w:p w14:paraId="1512C7EA" w14:textId="77777777" w:rsidR="00BD6AB2" w:rsidRPr="008D6952" w:rsidRDefault="00BD6AB2" w:rsidP="00232D2B">
      <w:pPr>
        <w:jc w:val="both"/>
        <w:rPr>
          <w:rFonts w:ascii="Avenir Book" w:hAnsi="Avenir Book"/>
        </w:rPr>
      </w:pPr>
    </w:p>
    <w:p w14:paraId="6AE14425" w14:textId="77777777" w:rsidR="00BD6AB2" w:rsidRPr="008D6952" w:rsidRDefault="00BD6AB2" w:rsidP="00232D2B">
      <w:pPr>
        <w:jc w:val="both"/>
        <w:rPr>
          <w:rFonts w:ascii="Avenir Book" w:hAnsi="Avenir Book"/>
        </w:rPr>
      </w:pPr>
      <w:r w:rsidRPr="008D6952">
        <w:rPr>
          <w:rFonts w:ascii="Avenir Book" w:hAnsi="Avenir Book"/>
        </w:rPr>
        <w:t>Quelle ambition pour l’apprentissage ? Après une progression spectaculaire de l’apprentissage, une série de décisions dictées par des considérations essentiellement budgétaires, souvent complexes et parfois avec des motivations bancales, jette le doute sur l’ambition sinon la conception de l’apprentissage en France....</w:t>
      </w:r>
    </w:p>
    <w:p w14:paraId="5F0024D1" w14:textId="77777777" w:rsidR="00BD6AB2" w:rsidRPr="008D6952" w:rsidRDefault="00BD6AB2" w:rsidP="00232D2B">
      <w:pPr>
        <w:jc w:val="both"/>
        <w:rPr>
          <w:rFonts w:ascii="Avenir Book" w:hAnsi="Avenir Book"/>
        </w:rPr>
      </w:pPr>
      <w:r w:rsidRPr="008D6952">
        <w:rPr>
          <w:rFonts w:ascii="Avenir Book" w:hAnsi="Avenir Book"/>
        </w:rPr>
        <w:t>Et pourtant, dans 10 ans…en 2035….</w:t>
      </w:r>
    </w:p>
    <w:p w14:paraId="23915CFD" w14:textId="5A333EB7" w:rsidR="00BD6AB2" w:rsidRPr="008D6952" w:rsidRDefault="00BD6AB2" w:rsidP="00232D2B">
      <w:pPr>
        <w:jc w:val="both"/>
        <w:rPr>
          <w:rFonts w:ascii="Avenir Book" w:hAnsi="Avenir Book"/>
        </w:rPr>
      </w:pPr>
      <w:r w:rsidRPr="008D6952">
        <w:rPr>
          <w:rFonts w:ascii="Avenir Book" w:hAnsi="Avenir Book"/>
          <w:b/>
          <w:bCs/>
        </w:rPr>
        <w:t>L’apprentissage est reconnu comme une voie de formation à part entière.</w:t>
      </w:r>
      <w:r w:rsidRPr="008D6952">
        <w:rPr>
          <w:rFonts w:ascii="Avenir Book" w:hAnsi="Avenir Book"/>
        </w:rPr>
        <w:t xml:space="preserve"> La hiérarchie (à peine) implicite des voies de formation, filière générale, voie technologique, apprentissage et lycées professionnels, n’est plus le fait que de quelques-uns, </w:t>
      </w:r>
      <w:r w:rsidRPr="00217F25">
        <w:rPr>
          <w:rFonts w:ascii="Avenir Book" w:hAnsi="Avenir Book"/>
        </w:rPr>
        <w:t>nostalgique</w:t>
      </w:r>
      <w:r w:rsidR="00F130F3" w:rsidRPr="00217F25">
        <w:rPr>
          <w:rFonts w:ascii="Avenir Book" w:hAnsi="Avenir Book"/>
        </w:rPr>
        <w:t>s</w:t>
      </w:r>
      <w:r w:rsidRPr="008D6952">
        <w:rPr>
          <w:rFonts w:ascii="Avenir Book" w:hAnsi="Avenir Book"/>
        </w:rPr>
        <w:t xml:space="preserve"> d’un ordre social </w:t>
      </w:r>
      <w:r w:rsidRPr="00DB0B44">
        <w:rPr>
          <w:rFonts w:ascii="Avenir Book" w:hAnsi="Avenir Book"/>
        </w:rPr>
        <w:t>o</w:t>
      </w:r>
      <w:r w:rsidR="00F130F3" w:rsidRPr="00DB0B44">
        <w:rPr>
          <w:rFonts w:ascii="Avenir Book" w:hAnsi="Avenir Book"/>
        </w:rPr>
        <w:t>ù</w:t>
      </w:r>
      <w:r w:rsidRPr="008D6952">
        <w:rPr>
          <w:rFonts w:ascii="Avenir Book" w:hAnsi="Avenir Book"/>
        </w:rPr>
        <w:t xml:space="preserve"> le statut découle en partie des écoles que l’on a fréquenté</w:t>
      </w:r>
      <w:r w:rsidR="00F92270" w:rsidRPr="008D6952">
        <w:rPr>
          <w:rFonts w:ascii="Avenir Book" w:hAnsi="Avenir Book"/>
        </w:rPr>
        <w:t>es</w:t>
      </w:r>
      <w:r w:rsidRPr="008D6952">
        <w:rPr>
          <w:rFonts w:ascii="Avenir Book" w:hAnsi="Avenir Book"/>
        </w:rPr>
        <w:t>. Certes l’apprentissage concourt à réduire le taux de chomage des jeunes à un pourcentage inférieur à la moyenne européenne</w:t>
      </w:r>
      <w:r w:rsidR="007F05B6" w:rsidRPr="008D6952">
        <w:rPr>
          <w:rFonts w:ascii="Avenir Book" w:hAnsi="Avenir Book"/>
        </w:rPr>
        <w:t>, soit 14%</w:t>
      </w:r>
      <w:r w:rsidR="00F92270" w:rsidRPr="008D6952">
        <w:rPr>
          <w:rStyle w:val="Appelnotedebasdep"/>
          <w:rFonts w:ascii="Avenir Book" w:hAnsi="Avenir Book"/>
        </w:rPr>
        <w:footnoteReference w:id="1"/>
      </w:r>
      <w:r w:rsidR="007F05B6" w:rsidRPr="008D6952">
        <w:rPr>
          <w:rFonts w:ascii="Avenir Book" w:hAnsi="Avenir Book"/>
        </w:rPr>
        <w:t xml:space="preserve">, </w:t>
      </w:r>
      <w:r w:rsidRPr="008D6952">
        <w:rPr>
          <w:rFonts w:ascii="Avenir Book" w:hAnsi="Avenir Book"/>
        </w:rPr>
        <w:t>mais il est perçu avant tout comme une pédagogie, en alternance, caractérisé</w:t>
      </w:r>
      <w:r w:rsidR="00273361" w:rsidRPr="008D6952">
        <w:rPr>
          <w:rFonts w:ascii="Avenir Book" w:hAnsi="Avenir Book"/>
        </w:rPr>
        <w:t xml:space="preserve"> </w:t>
      </w:r>
      <w:r w:rsidRPr="008D6952">
        <w:rPr>
          <w:rFonts w:ascii="Avenir Book" w:hAnsi="Avenir Book"/>
        </w:rPr>
        <w:t>par la conclusion d’un contrat de travail qui renforce l’implication de toutes les parties prenantes. De ce fait, les critères d’appréciation sont plus larges et inclu</w:t>
      </w:r>
      <w:r w:rsidR="00273361" w:rsidRPr="008D6952">
        <w:rPr>
          <w:rFonts w:ascii="Avenir Book" w:hAnsi="Avenir Book"/>
        </w:rPr>
        <w:t>en</w:t>
      </w:r>
      <w:r w:rsidRPr="008D6952">
        <w:rPr>
          <w:rFonts w:ascii="Avenir Book" w:hAnsi="Avenir Book"/>
        </w:rPr>
        <w:t xml:space="preserve">t notamment l’appréciation de la rémunération post-apprentissage et les évolutions de carrière. Fini la voie de « remédiation » ; fini la primauté de l’enseignement académique…les conseils de classe, les services d’orientation n’hésitent plus à recommander aux jeunes et à leurs familles de suivre les voies professionnalisantes au </w:t>
      </w:r>
      <w:r w:rsidR="00273361" w:rsidRPr="008D6952">
        <w:rPr>
          <w:rFonts w:ascii="Avenir Book" w:hAnsi="Avenir Book"/>
        </w:rPr>
        <w:t>même</w:t>
      </w:r>
      <w:r w:rsidRPr="008D6952">
        <w:rPr>
          <w:rFonts w:ascii="Avenir Book" w:hAnsi="Avenir Book"/>
        </w:rPr>
        <w:t xml:space="preserve"> titre que les autres voies.</w:t>
      </w:r>
    </w:p>
    <w:p w14:paraId="1AA92171" w14:textId="54C0A32E" w:rsidR="00BD6AB2" w:rsidRPr="008D6952" w:rsidRDefault="00BD6AB2" w:rsidP="00232D2B">
      <w:pPr>
        <w:jc w:val="both"/>
        <w:rPr>
          <w:rFonts w:ascii="Avenir Book" w:hAnsi="Avenir Book"/>
        </w:rPr>
      </w:pPr>
      <w:r w:rsidRPr="008D6952">
        <w:rPr>
          <w:rFonts w:ascii="Avenir Book" w:hAnsi="Avenir Book"/>
          <w:b/>
          <w:bCs/>
        </w:rPr>
        <w:t>10%</w:t>
      </w:r>
      <w:r w:rsidR="004C32C7" w:rsidRPr="008D6952">
        <w:rPr>
          <w:rStyle w:val="Appelnotedebasdep"/>
          <w:rFonts w:ascii="Avenir Book" w:hAnsi="Avenir Book"/>
          <w:b/>
          <w:bCs/>
        </w:rPr>
        <w:footnoteReference w:id="2"/>
      </w:r>
      <w:r w:rsidRPr="008D6952">
        <w:rPr>
          <w:rFonts w:ascii="Avenir Book" w:hAnsi="Avenir Book"/>
          <w:b/>
          <w:bCs/>
        </w:rPr>
        <w:t xml:space="preserve"> d’une classe d’âge est en apprentissage</w:t>
      </w:r>
      <w:r w:rsidRPr="008D6952">
        <w:rPr>
          <w:rFonts w:ascii="Avenir Book" w:hAnsi="Avenir Book"/>
        </w:rPr>
        <w:t>, soit un peu plus de 1,2 million d’apprenti et une progression de 3,5 points en 10 ans…</w:t>
      </w:r>
      <w:r w:rsidR="00E7411A">
        <w:rPr>
          <w:rFonts w:ascii="Avenir Book" w:hAnsi="Avenir Book"/>
        </w:rPr>
        <w:t xml:space="preserve"> </w:t>
      </w:r>
      <w:r w:rsidRPr="008D6952">
        <w:rPr>
          <w:rFonts w:ascii="Avenir Book" w:hAnsi="Avenir Book"/>
        </w:rPr>
        <w:t>La France avoisine le taux de l’Allemagne (9,16%) et se rapproche de celui de la Suisse (14,3%)</w:t>
      </w:r>
      <w:r w:rsidR="00484841" w:rsidRPr="008D6952">
        <w:rPr>
          <w:rStyle w:val="Appelnotedebasdep"/>
          <w:rFonts w:ascii="Avenir Book" w:hAnsi="Avenir Book"/>
        </w:rPr>
        <w:footnoteReference w:id="3"/>
      </w:r>
      <w:r w:rsidRPr="008D6952">
        <w:rPr>
          <w:rFonts w:ascii="Avenir Book" w:hAnsi="Avenir Book"/>
        </w:rPr>
        <w:t xml:space="preserve">.  Les capacités des entreprises à conclure des contrats sont plus importantes car l’apprentissage s’est </w:t>
      </w:r>
      <w:r w:rsidR="002A1EF5" w:rsidRPr="008D6952">
        <w:rPr>
          <w:rFonts w:ascii="Avenir Book" w:hAnsi="Avenir Book"/>
        </w:rPr>
        <w:t>imposé</w:t>
      </w:r>
      <w:r w:rsidRPr="008D6952">
        <w:rPr>
          <w:rFonts w:ascii="Avenir Book" w:hAnsi="Avenir Book"/>
        </w:rPr>
        <w:t xml:space="preserve"> depuis 15 ans comme un mode de recrutement efficace et ce, quel</w:t>
      </w:r>
      <w:r w:rsidR="002A1EF5" w:rsidRPr="008D6952">
        <w:rPr>
          <w:rFonts w:ascii="Avenir Book" w:hAnsi="Avenir Book"/>
        </w:rPr>
        <w:t xml:space="preserve">le que soit </w:t>
      </w:r>
      <w:r w:rsidRPr="008D6952">
        <w:rPr>
          <w:rFonts w:ascii="Avenir Book" w:hAnsi="Avenir Book"/>
        </w:rPr>
        <w:t>la taille des entreprises et le secteur d’activité. Diversifier les modes de recrutement, accro</w:t>
      </w:r>
      <w:r w:rsidR="002A1EF5" w:rsidRPr="008D6952">
        <w:rPr>
          <w:rFonts w:ascii="Avenir Book" w:hAnsi="Avenir Book"/>
        </w:rPr>
        <w:t>î</w:t>
      </w:r>
      <w:r w:rsidRPr="008D6952">
        <w:rPr>
          <w:rFonts w:ascii="Avenir Book" w:hAnsi="Avenir Book"/>
        </w:rPr>
        <w:t>tre le volume d’expérience professionnel</w:t>
      </w:r>
      <w:r w:rsidR="002A1EF5" w:rsidRPr="008D6952">
        <w:rPr>
          <w:rFonts w:ascii="Avenir Book" w:hAnsi="Avenir Book"/>
        </w:rPr>
        <w:t>le</w:t>
      </w:r>
      <w:r w:rsidRPr="008D6952">
        <w:rPr>
          <w:rFonts w:ascii="Avenir Book" w:hAnsi="Avenir Book"/>
        </w:rPr>
        <w:t xml:space="preserve"> et la capacité à comprendre la culture de l’entreprise et son mode d’organisation sont les ingrédients d’une formule gagnante, au moins à moyen </w:t>
      </w:r>
      <w:r w:rsidRPr="008D6952">
        <w:rPr>
          <w:rFonts w:ascii="Avenir Book" w:hAnsi="Avenir Book"/>
        </w:rPr>
        <w:lastRenderedPageBreak/>
        <w:t xml:space="preserve">terme…et puis, la démographie a accru les tensions de recrutement…avoir recours à l’apprentissage, c’est </w:t>
      </w:r>
      <w:r w:rsidR="002A1EF5" w:rsidRPr="008D6952">
        <w:rPr>
          <w:rFonts w:ascii="Avenir Book" w:hAnsi="Avenir Book"/>
        </w:rPr>
        <w:t>ê</w:t>
      </w:r>
      <w:r w:rsidRPr="008D6952">
        <w:rPr>
          <w:rFonts w:ascii="Avenir Book" w:hAnsi="Avenir Book"/>
        </w:rPr>
        <w:t>tre attractif. Avec 10% d’une classe d’âge en apprentissage, tout le monde connait au moins un apprenti, dans sa famille, dans son entourage. Bref L’apprentissage s’est installé…</w:t>
      </w:r>
    </w:p>
    <w:p w14:paraId="6574A31F" w14:textId="478F3B2C" w:rsidR="00BD6AB2" w:rsidRPr="008D6952" w:rsidRDefault="00BD6AB2" w:rsidP="00232D2B">
      <w:pPr>
        <w:jc w:val="both"/>
        <w:rPr>
          <w:rFonts w:ascii="Avenir Book" w:hAnsi="Avenir Book"/>
        </w:rPr>
      </w:pPr>
      <w:r w:rsidRPr="008D6952">
        <w:rPr>
          <w:rFonts w:ascii="Avenir Book" w:hAnsi="Avenir Book"/>
          <w:b/>
          <w:bCs/>
        </w:rPr>
        <w:t xml:space="preserve">Cumulé, le nombre de jeunes en apprentissage et en lycée professionnel a augmenté de </w:t>
      </w:r>
      <w:r w:rsidR="00B645A1">
        <w:rPr>
          <w:rFonts w:ascii="Avenir Book" w:hAnsi="Avenir Book"/>
          <w:b/>
          <w:bCs/>
        </w:rPr>
        <w:t>2</w:t>
      </w:r>
      <w:r w:rsidRPr="008D6952">
        <w:rPr>
          <w:rFonts w:ascii="Avenir Book" w:hAnsi="Avenir Book"/>
          <w:b/>
          <w:bCs/>
        </w:rPr>
        <w:t>0% par rapport à 2024 pour atteindre près de 1,9 Millions de jeunes</w:t>
      </w:r>
      <w:r w:rsidR="002A1EF5" w:rsidRPr="008D6952">
        <w:rPr>
          <w:rStyle w:val="Appelnotedebasdep"/>
          <w:rFonts w:ascii="Avenir Book" w:hAnsi="Avenir Book"/>
          <w:b/>
          <w:bCs/>
        </w:rPr>
        <w:footnoteReference w:id="4"/>
      </w:r>
      <w:r w:rsidRPr="008D6952">
        <w:rPr>
          <w:rFonts w:ascii="Avenir Book" w:hAnsi="Avenir Book"/>
        </w:rPr>
        <w:t xml:space="preserve">. Le nombre </w:t>
      </w:r>
      <w:r w:rsidRPr="008D6952">
        <w:rPr>
          <w:rFonts w:ascii="Avenir Book" w:hAnsi="Avenir Book"/>
          <w:b/>
          <w:bCs/>
        </w:rPr>
        <w:t>d’élève</w:t>
      </w:r>
      <w:r w:rsidR="00F130F3" w:rsidRPr="008D6952">
        <w:rPr>
          <w:rFonts w:ascii="Avenir Book" w:hAnsi="Avenir Book"/>
          <w:b/>
          <w:bCs/>
        </w:rPr>
        <w:t>s</w:t>
      </w:r>
      <w:r w:rsidRPr="008D6952">
        <w:rPr>
          <w:rFonts w:ascii="Avenir Book" w:hAnsi="Avenir Book"/>
        </w:rPr>
        <w:t xml:space="preserve"> en filière générale a baissé corrélativement, témoins d’une véritable révolution culturelle</w:t>
      </w:r>
      <w:r w:rsidR="001A487F" w:rsidRPr="008D6952">
        <w:rPr>
          <w:rStyle w:val="Appelnotedebasdep"/>
          <w:rFonts w:ascii="Avenir Book" w:hAnsi="Avenir Book"/>
        </w:rPr>
        <w:footnoteReference w:id="5"/>
      </w:r>
      <w:r w:rsidRPr="008D6952">
        <w:rPr>
          <w:rFonts w:ascii="Avenir Book" w:hAnsi="Avenir Book"/>
        </w:rPr>
        <w:t>. La réforme de la formation continue, de 2029 a fortement accru les possibilités d’évoluer en cours de parcours professionnels et les jeunes hésitent moins à s’engager plus t</w:t>
      </w:r>
      <w:r w:rsidR="00B363C2" w:rsidRPr="008D6952">
        <w:rPr>
          <w:rFonts w:ascii="Avenir Book" w:hAnsi="Avenir Book"/>
        </w:rPr>
        <w:t>ô</w:t>
      </w:r>
      <w:r w:rsidRPr="008D6952">
        <w:rPr>
          <w:rFonts w:ascii="Avenir Book" w:hAnsi="Avenir Book"/>
        </w:rPr>
        <w:t>t dans la vie active. Les efforts de rénovation de la carte des formations des lycées professionnels, entamé</w:t>
      </w:r>
      <w:r w:rsidR="00E7411A">
        <w:rPr>
          <w:rFonts w:ascii="Avenir Book" w:hAnsi="Avenir Book"/>
        </w:rPr>
        <w:t>s</w:t>
      </w:r>
      <w:r w:rsidRPr="008D6952">
        <w:rPr>
          <w:rFonts w:ascii="Avenir Book" w:hAnsi="Avenir Book"/>
        </w:rPr>
        <w:t xml:space="preserve"> en 2024 ont fini par payer. Le taux d’insertion dans l’emploi après formation a augmenté significativement</w:t>
      </w:r>
      <w:r w:rsidR="00682A7F" w:rsidRPr="008D6952">
        <w:rPr>
          <w:rFonts w:ascii="Avenir Book" w:hAnsi="Avenir Book"/>
        </w:rPr>
        <w:t> :</w:t>
      </w:r>
      <w:r w:rsidRPr="008D6952">
        <w:rPr>
          <w:rFonts w:ascii="Avenir Book" w:hAnsi="Avenir Book"/>
        </w:rPr>
        <w:t xml:space="preserve"> 60% </w:t>
      </w:r>
      <w:r w:rsidR="00E7411A">
        <w:rPr>
          <w:rFonts w:ascii="Avenir Book" w:hAnsi="Avenir Book"/>
        </w:rPr>
        <w:t xml:space="preserve">d’insertion </w:t>
      </w:r>
      <w:r w:rsidRPr="008D6952">
        <w:rPr>
          <w:rFonts w:ascii="Avenir Book" w:hAnsi="Avenir Book"/>
        </w:rPr>
        <w:t>6 mois après la fin de la scolarité</w:t>
      </w:r>
      <w:r w:rsidR="007B7672" w:rsidRPr="008D6952">
        <w:rPr>
          <w:rStyle w:val="Appelnotedebasdep"/>
          <w:rFonts w:ascii="Avenir Book" w:hAnsi="Avenir Book"/>
        </w:rPr>
        <w:footnoteReference w:id="6"/>
      </w:r>
      <w:r w:rsidRPr="008D6952">
        <w:rPr>
          <w:rFonts w:ascii="Avenir Book" w:hAnsi="Avenir Book"/>
        </w:rPr>
        <w:t>. Bref, on rentre plus vite dans la vie active et on évolue plus facilement ensuite. Il est vrai que les évolutions démographiques facilitent aussi ces évolutions.</w:t>
      </w:r>
    </w:p>
    <w:p w14:paraId="6E19539F" w14:textId="10133B48" w:rsidR="00BD6AB2" w:rsidRPr="008D6952" w:rsidRDefault="00BD6AB2" w:rsidP="00232D2B">
      <w:pPr>
        <w:jc w:val="both"/>
        <w:rPr>
          <w:rFonts w:ascii="Avenir Book" w:hAnsi="Avenir Book"/>
        </w:rPr>
      </w:pPr>
      <w:r w:rsidRPr="008D6952">
        <w:rPr>
          <w:rFonts w:ascii="Avenir Book" w:hAnsi="Avenir Book"/>
          <w:b/>
          <w:bCs/>
        </w:rPr>
        <w:t>L’apprentissage s’est développé dans tous les niveaux, incluant ceux du supérieur</w:t>
      </w:r>
      <w:r w:rsidRPr="008D6952">
        <w:rPr>
          <w:rFonts w:ascii="Avenir Book" w:hAnsi="Avenir Book"/>
        </w:rPr>
        <w:t xml:space="preserve">… En tant que modalité pédagogique, l’apprentissage est perçu comme pertinent </w:t>
      </w:r>
      <w:r w:rsidR="00B363C2" w:rsidRPr="008D6952">
        <w:rPr>
          <w:rFonts w:ascii="Avenir Book" w:hAnsi="Avenir Book"/>
        </w:rPr>
        <w:t xml:space="preserve">quel que soit </w:t>
      </w:r>
      <w:r w:rsidRPr="008D6952">
        <w:rPr>
          <w:rFonts w:ascii="Avenir Book" w:hAnsi="Avenir Book"/>
        </w:rPr>
        <w:t xml:space="preserve">le niveau. Imagine-t-on supprimer l’internat de médecine qui en a toutes les caractéristiques mais pas le nom ? Il a contribué a renforcé le taux d’encadrement dans les TPE-PME et continue de séduire les Entreprises </w:t>
      </w:r>
      <w:r w:rsidR="00DA5290" w:rsidRPr="008D6952">
        <w:rPr>
          <w:rFonts w:ascii="Avenir Book" w:hAnsi="Avenir Book"/>
        </w:rPr>
        <w:t>de</w:t>
      </w:r>
      <w:r w:rsidRPr="008D6952">
        <w:rPr>
          <w:rFonts w:ascii="Avenir Book" w:hAnsi="Avenir Book"/>
        </w:rPr>
        <w:t xml:space="preserve"> Taille Intermédiaire</w:t>
      </w:r>
      <w:r w:rsidR="00DA5290" w:rsidRPr="008D6952">
        <w:rPr>
          <w:rFonts w:ascii="Avenir Book" w:hAnsi="Avenir Book"/>
        </w:rPr>
        <w:t xml:space="preserve"> (ETI)</w:t>
      </w:r>
      <w:r w:rsidRPr="008D6952">
        <w:rPr>
          <w:rFonts w:ascii="Avenir Book" w:hAnsi="Avenir Book"/>
        </w:rPr>
        <w:t xml:space="preserve">. De plus, la France n’est pas l’Allemagne. Dans un pays </w:t>
      </w:r>
      <w:r w:rsidRPr="00E7411A">
        <w:rPr>
          <w:rFonts w:ascii="Avenir Book" w:hAnsi="Avenir Book"/>
        </w:rPr>
        <w:t>o</w:t>
      </w:r>
      <w:r w:rsidR="00F130F3" w:rsidRPr="00E7411A">
        <w:rPr>
          <w:rFonts w:ascii="Avenir Book" w:hAnsi="Avenir Book"/>
        </w:rPr>
        <w:t>ù</w:t>
      </w:r>
      <w:r w:rsidRPr="00E7411A">
        <w:rPr>
          <w:rFonts w:ascii="Avenir Book" w:hAnsi="Avenir Book"/>
        </w:rPr>
        <w:t>,</w:t>
      </w:r>
      <w:r w:rsidRPr="008D6952">
        <w:rPr>
          <w:rFonts w:ascii="Avenir Book" w:hAnsi="Avenir Book"/>
        </w:rPr>
        <w:t xml:space="preserve"> culturellement la possibilité d’accès à l’enseignement supérieur reste un marqueur important, l’apprentissage, pour rester une voie à part entière, a encore besoin de pouvoir etre dispensé à tous les niveaux</w:t>
      </w:r>
      <w:r w:rsidR="00671B75" w:rsidRPr="008D6952">
        <w:rPr>
          <w:rStyle w:val="Appelnotedebasdep"/>
          <w:rFonts w:ascii="Avenir Book" w:hAnsi="Avenir Book"/>
        </w:rPr>
        <w:footnoteReference w:id="7"/>
      </w:r>
      <w:r w:rsidRPr="008D6952">
        <w:rPr>
          <w:rFonts w:ascii="Avenir Book" w:hAnsi="Avenir Book"/>
        </w:rPr>
        <w:t xml:space="preserve">. </w:t>
      </w:r>
      <w:r w:rsidR="006E0474" w:rsidRPr="008D6952">
        <w:rPr>
          <w:rFonts w:ascii="Avenir Book" w:hAnsi="Avenir Book"/>
        </w:rPr>
        <w:t>Au global, la France compte moins d’étudiants, en particulier dans les filières non scientifiques et compte plus d’ingénieurs, y compris en apprentissage.</w:t>
      </w:r>
    </w:p>
    <w:p w14:paraId="7E67337B" w14:textId="3D657AEC" w:rsidR="009F7D86" w:rsidRPr="008D6952" w:rsidRDefault="009F7D86" w:rsidP="00232D2B">
      <w:pPr>
        <w:jc w:val="both"/>
        <w:rPr>
          <w:rFonts w:ascii="Avenir Book" w:hAnsi="Avenir Book"/>
        </w:rPr>
      </w:pPr>
      <w:r w:rsidRPr="008D6952">
        <w:rPr>
          <w:rFonts w:ascii="Avenir Book" w:hAnsi="Avenir Book"/>
          <w:b/>
          <w:bCs/>
        </w:rPr>
        <w:t>La formation à distance y tient toute sa place…</w:t>
      </w:r>
      <w:r w:rsidRPr="008D6952">
        <w:rPr>
          <w:rFonts w:ascii="Avenir Book" w:hAnsi="Avenir Book"/>
        </w:rPr>
        <w:t>elle s’est meme développée…le plus souvent dans des formations « hybrides » mais quelquefois, pour 100% de la durée de formation</w:t>
      </w:r>
      <w:r w:rsidR="00202D19" w:rsidRPr="008D6952">
        <w:rPr>
          <w:rFonts w:ascii="Avenir Book" w:hAnsi="Avenir Book"/>
        </w:rPr>
        <w:t xml:space="preserve">. Ce développement permet </w:t>
      </w:r>
      <w:r w:rsidRPr="008D6952">
        <w:rPr>
          <w:rFonts w:ascii="Avenir Book" w:hAnsi="Avenir Book"/>
        </w:rPr>
        <w:t>notamment à des jeunes de diminuer les temps de transport, à des personnes expérimentées de compléter leurs acquis</w:t>
      </w:r>
      <w:r w:rsidR="00202D19" w:rsidRPr="008D6952">
        <w:rPr>
          <w:rFonts w:ascii="Avenir Book" w:hAnsi="Avenir Book"/>
        </w:rPr>
        <w:t xml:space="preserve">… </w:t>
      </w:r>
      <w:r w:rsidRPr="008D6952">
        <w:rPr>
          <w:rFonts w:ascii="Avenir Book" w:hAnsi="Avenir Book"/>
        </w:rPr>
        <w:t>Et puis, la maitrise de « son bilan carbone » est entrée dans les mœurs. Les pouvoirs publics envisagent d’encourager les pratiques innovantes en majorant les niveaux de prise</w:t>
      </w:r>
      <w:r w:rsidR="00202D19" w:rsidRPr="008D6952">
        <w:rPr>
          <w:rFonts w:ascii="Avenir Book" w:hAnsi="Avenir Book"/>
        </w:rPr>
        <w:t xml:space="preserve"> en charge permettant de l’améliorer.</w:t>
      </w:r>
    </w:p>
    <w:p w14:paraId="582EE819" w14:textId="2104F6DF" w:rsidR="009F7D86" w:rsidRPr="008D6952" w:rsidRDefault="009F7D86" w:rsidP="00232D2B">
      <w:pPr>
        <w:jc w:val="both"/>
        <w:rPr>
          <w:rFonts w:ascii="Avenir Book" w:hAnsi="Avenir Book"/>
        </w:rPr>
      </w:pPr>
      <w:r w:rsidRPr="008D6952">
        <w:rPr>
          <w:rFonts w:ascii="Avenir Book" w:hAnsi="Avenir Book"/>
        </w:rPr>
        <w:t xml:space="preserve">Après un premier </w:t>
      </w:r>
      <w:proofErr w:type="gramStart"/>
      <w:r w:rsidRPr="008D6952">
        <w:rPr>
          <w:rFonts w:ascii="Avenir Book" w:hAnsi="Avenir Book"/>
        </w:rPr>
        <w:t xml:space="preserve">sursaut </w:t>
      </w:r>
      <w:r w:rsidR="006E5178">
        <w:rPr>
          <w:rFonts w:ascii="Avenir Book" w:hAnsi="Avenir Book"/>
        </w:rPr>
        <w:t>,</w:t>
      </w:r>
      <w:r w:rsidRPr="008D6952">
        <w:rPr>
          <w:rFonts w:ascii="Avenir Book" w:hAnsi="Avenir Book"/>
        </w:rPr>
        <w:t>au</w:t>
      </w:r>
      <w:proofErr w:type="gramEnd"/>
      <w:r w:rsidRPr="008D6952">
        <w:rPr>
          <w:rFonts w:ascii="Avenir Book" w:hAnsi="Avenir Book"/>
        </w:rPr>
        <w:t xml:space="preserve"> moment de la crise COVID</w:t>
      </w:r>
      <w:r w:rsidR="006E5178">
        <w:rPr>
          <w:rFonts w:ascii="Avenir Book" w:hAnsi="Avenir Book"/>
        </w:rPr>
        <w:t>,</w:t>
      </w:r>
      <w:r w:rsidRPr="008D6952">
        <w:rPr>
          <w:rFonts w:ascii="Avenir Book" w:hAnsi="Avenir Book"/>
        </w:rPr>
        <w:t xml:space="preserve"> qui avait notamment permis de maintenir le lien avec les apprentis confinés, </w:t>
      </w:r>
      <w:r w:rsidR="00E7411A">
        <w:rPr>
          <w:rFonts w:ascii="Avenir Book" w:hAnsi="Avenir Book"/>
        </w:rPr>
        <w:t>l</w:t>
      </w:r>
      <w:r w:rsidRPr="008D6952">
        <w:rPr>
          <w:rFonts w:ascii="Avenir Book" w:hAnsi="Avenir Book"/>
        </w:rPr>
        <w:t xml:space="preserve">es CFA ont continué à augmenter qualitativement et quantitativement les contenus disponibles et former les équipes à maitriser la pédagogie inhérente à cette modalité. </w:t>
      </w:r>
      <w:r w:rsidR="00202D19" w:rsidRPr="008D6952">
        <w:rPr>
          <w:rFonts w:ascii="Avenir Book" w:hAnsi="Avenir Book"/>
        </w:rPr>
        <w:t xml:space="preserve">Les questions « d’accessibilité » permettent aussi à un nombre croissant de personnes en situation de </w:t>
      </w:r>
      <w:r w:rsidR="00202D19" w:rsidRPr="008D6952">
        <w:rPr>
          <w:rFonts w:ascii="Avenir Book" w:hAnsi="Avenir Book"/>
        </w:rPr>
        <w:lastRenderedPageBreak/>
        <w:t>handicap d’user de cette modalité</w:t>
      </w:r>
      <w:r w:rsidR="000D7A30" w:rsidRPr="008D6952">
        <w:rPr>
          <w:rStyle w:val="Appelnotedebasdep"/>
          <w:rFonts w:ascii="Avenir Book" w:hAnsi="Avenir Book"/>
        </w:rPr>
        <w:footnoteReference w:id="8"/>
      </w:r>
      <w:r w:rsidR="00202D19" w:rsidRPr="008D6952">
        <w:rPr>
          <w:rFonts w:ascii="Avenir Book" w:hAnsi="Avenir Book"/>
        </w:rPr>
        <w:t>.</w:t>
      </w:r>
      <w:r w:rsidRPr="008D6952">
        <w:rPr>
          <w:rFonts w:ascii="Avenir Book" w:hAnsi="Avenir Book"/>
        </w:rPr>
        <w:t xml:space="preserve"> La France a ainsi rattrapé son retard en matière de formation à distance et figure meme dans le </w:t>
      </w:r>
      <w:r w:rsidRPr="00F83FE5">
        <w:rPr>
          <w:rFonts w:ascii="Avenir Book" w:hAnsi="Avenir Book"/>
        </w:rPr>
        <w:t>peloton de t</w:t>
      </w:r>
      <w:r w:rsidR="00F130F3" w:rsidRPr="00F83FE5">
        <w:rPr>
          <w:rFonts w:ascii="Avenir Book" w:hAnsi="Avenir Book"/>
        </w:rPr>
        <w:t>êt</w:t>
      </w:r>
      <w:r w:rsidRPr="00F83FE5">
        <w:rPr>
          <w:rFonts w:ascii="Avenir Book" w:hAnsi="Avenir Book"/>
        </w:rPr>
        <w:t>e</w:t>
      </w:r>
      <w:r w:rsidRPr="008D6952">
        <w:rPr>
          <w:rFonts w:ascii="Avenir Book" w:hAnsi="Avenir Book"/>
        </w:rPr>
        <w:t xml:space="preserve"> en Europe avec la Suède, la Finlande et les Pays-Bas…</w:t>
      </w:r>
      <w:r w:rsidR="00E7411A">
        <w:rPr>
          <w:rFonts w:ascii="Avenir Book" w:hAnsi="Avenir Book"/>
        </w:rPr>
        <w:t xml:space="preserve"> L</w:t>
      </w:r>
      <w:r w:rsidRPr="008D6952">
        <w:rPr>
          <w:rFonts w:ascii="Avenir Book" w:hAnsi="Avenir Book"/>
        </w:rPr>
        <w:t>oin de stigmatiser cette modalité, les pouvoirs publics ont encouragé les investissements, notamment avec le soutien de la BPI et la banque des territoires. L’instauration, dans QUALIOPI, d’indicateurs particuliers portant sur l’accompagnement et le suivi à distance, s’est substitué à la minoration des niveaux de prise en charge, complexe et, contre-productive.</w:t>
      </w:r>
    </w:p>
    <w:p w14:paraId="1A8AEF03" w14:textId="76495D32" w:rsidR="009F7D86" w:rsidRPr="008D6952" w:rsidRDefault="009F7D86" w:rsidP="00232D2B">
      <w:pPr>
        <w:jc w:val="both"/>
        <w:rPr>
          <w:rFonts w:ascii="Avenir Book" w:hAnsi="Avenir Book"/>
        </w:rPr>
      </w:pPr>
      <w:r w:rsidRPr="008D6952">
        <w:rPr>
          <w:rFonts w:ascii="Avenir Book" w:hAnsi="Avenir Book"/>
          <w:b/>
          <w:bCs/>
        </w:rPr>
        <w:t>Plus largement, l’innovation pédagogique est de mise</w:t>
      </w:r>
      <w:r w:rsidRPr="008D6952">
        <w:rPr>
          <w:rFonts w:ascii="Avenir Book" w:hAnsi="Avenir Book"/>
        </w:rPr>
        <w:t>…</w:t>
      </w:r>
      <w:r w:rsidR="00E7411A">
        <w:rPr>
          <w:rFonts w:ascii="Avenir Book" w:hAnsi="Avenir Book"/>
        </w:rPr>
        <w:t xml:space="preserve"> L</w:t>
      </w:r>
      <w:r w:rsidRPr="008D6952">
        <w:rPr>
          <w:rFonts w:ascii="Avenir Book" w:hAnsi="Avenir Book"/>
        </w:rPr>
        <w:t>es CFA ont cultiv</w:t>
      </w:r>
      <w:r w:rsidR="00E7411A">
        <w:rPr>
          <w:rFonts w:ascii="Avenir Book" w:hAnsi="Avenir Book"/>
        </w:rPr>
        <w:t>é</w:t>
      </w:r>
      <w:r w:rsidRPr="008D6952">
        <w:rPr>
          <w:rFonts w:ascii="Avenir Book" w:hAnsi="Avenir Book"/>
        </w:rPr>
        <w:t xml:space="preserve"> cette dimension pour mieux se différencier des autres voies de formation. Un nombre croissant de CFA ont un service R&amp;D et les partenariats, notamment avec les laboratoires et experts en </w:t>
      </w:r>
      <w:r w:rsidR="000D7A30" w:rsidRPr="008D6952">
        <w:rPr>
          <w:rFonts w:ascii="Avenir Book" w:hAnsi="Avenir Book"/>
        </w:rPr>
        <w:t>neurosciences</w:t>
      </w:r>
      <w:r w:rsidRPr="008D6952">
        <w:rPr>
          <w:rFonts w:ascii="Avenir Book" w:hAnsi="Avenir Book"/>
        </w:rPr>
        <w:t xml:space="preserve">, se sont développés. Les concepteurs français de jeux vidéo, dont le savoir-faire est reconnu dans le monde entier, ont été parfois associés. Plus largement, la France figure au palmarès </w:t>
      </w:r>
      <w:r w:rsidRPr="00F83FE5">
        <w:rPr>
          <w:rFonts w:ascii="Avenir Book" w:hAnsi="Avenir Book"/>
        </w:rPr>
        <w:t xml:space="preserve">des pays en pointe </w:t>
      </w:r>
      <w:r w:rsidR="00F130F3" w:rsidRPr="00F83FE5">
        <w:rPr>
          <w:rFonts w:ascii="Avenir Book" w:hAnsi="Avenir Book"/>
        </w:rPr>
        <w:t>dans l</w:t>
      </w:r>
      <w:r w:rsidRPr="00F83FE5">
        <w:rPr>
          <w:rFonts w:ascii="Avenir Book" w:hAnsi="Avenir Book"/>
        </w:rPr>
        <w:t>’innovation en matière d’éducation et d’acquisition des compétences</w:t>
      </w:r>
      <w:r w:rsidRPr="008D6952">
        <w:rPr>
          <w:rFonts w:ascii="Avenir Book" w:hAnsi="Avenir Book"/>
        </w:rPr>
        <w:t>, rivalisant avec Singapour, le Vietnam ou encore l’Estonie ou la Grande-Bretagne en Europe.</w:t>
      </w:r>
      <w:r w:rsidR="007F05B6" w:rsidRPr="008D6952">
        <w:rPr>
          <w:rFonts w:ascii="Avenir Book" w:hAnsi="Avenir Book"/>
        </w:rPr>
        <w:t xml:space="preserve"> Témoin de ce dynamisme, à l’occasion de l’édition mondiale de WORLDSKILLS 2034, </w:t>
      </w:r>
      <w:r w:rsidR="00E7411A">
        <w:rPr>
          <w:rFonts w:ascii="Avenir Book" w:hAnsi="Avenir Book"/>
        </w:rPr>
        <w:t>la</w:t>
      </w:r>
      <w:r w:rsidR="007F05B6" w:rsidRPr="008D6952">
        <w:rPr>
          <w:rFonts w:ascii="Avenir Book" w:hAnsi="Avenir Book"/>
        </w:rPr>
        <w:t xml:space="preserve"> France a battu le record de médailles de l’édition 2024 à L</w:t>
      </w:r>
      <w:r w:rsidR="00B645A1">
        <w:rPr>
          <w:rFonts w:ascii="Avenir Book" w:hAnsi="Avenir Book"/>
        </w:rPr>
        <w:t>yon</w:t>
      </w:r>
      <w:r w:rsidR="007F05B6" w:rsidRPr="008D6952">
        <w:rPr>
          <w:rFonts w:ascii="Avenir Book" w:hAnsi="Avenir Book"/>
        </w:rPr>
        <w:t> !</w:t>
      </w:r>
    </w:p>
    <w:p w14:paraId="5EFFF717" w14:textId="565A5BB6" w:rsidR="009F7D86" w:rsidRPr="008D6952" w:rsidRDefault="009F7D86" w:rsidP="00232D2B">
      <w:pPr>
        <w:jc w:val="both"/>
        <w:rPr>
          <w:rFonts w:ascii="Avenir Book" w:hAnsi="Avenir Book"/>
        </w:rPr>
      </w:pPr>
      <w:r w:rsidRPr="008D6952">
        <w:rPr>
          <w:rFonts w:ascii="Avenir Book" w:hAnsi="Avenir Book"/>
          <w:b/>
          <w:bCs/>
        </w:rPr>
        <w:t xml:space="preserve">De fait, </w:t>
      </w:r>
      <w:r w:rsidR="00973790" w:rsidRPr="008D6952">
        <w:rPr>
          <w:rFonts w:ascii="Avenir Book" w:hAnsi="Avenir Book"/>
          <w:b/>
          <w:bCs/>
        </w:rPr>
        <w:t>l</w:t>
      </w:r>
      <w:r w:rsidRPr="008D6952">
        <w:rPr>
          <w:rFonts w:ascii="Avenir Book" w:hAnsi="Avenir Book"/>
          <w:b/>
          <w:bCs/>
        </w:rPr>
        <w:t>e montant des investissements des CFA a augmenté de 20%</w:t>
      </w:r>
      <w:r w:rsidR="00973790" w:rsidRPr="008D6952">
        <w:rPr>
          <w:rStyle w:val="Appelnotedebasdep"/>
          <w:rFonts w:ascii="Avenir Book" w:hAnsi="Avenir Book"/>
          <w:b/>
          <w:bCs/>
        </w:rPr>
        <w:footnoteReference w:id="9"/>
      </w:r>
      <w:r w:rsidRPr="008D6952">
        <w:rPr>
          <w:rFonts w:ascii="Avenir Book" w:hAnsi="Avenir Book"/>
          <w:b/>
          <w:bCs/>
        </w:rPr>
        <w:t>,</w:t>
      </w:r>
      <w:r w:rsidRPr="008D6952">
        <w:rPr>
          <w:rFonts w:ascii="Avenir Book" w:hAnsi="Avenir Book"/>
        </w:rPr>
        <w:t xml:space="preserve"> si on prend la moyenne des trois dernières années, par rapport à la période 2020-2023, soit environ 700 millions d’euros. L’accès aux financements est plus simple et les banques n’hésitent plus à soutenir les projets, rassurée par la stabilité des règles et les perspectives d’évolution de l’apprentissage. Un crédit d’impôt « education », mis en place en 2028, fortement inspiré du crédit d’impôt recherche, permet aux entreprises, notamment les PME, de financer également des projets, complétant l’action des fondations mais dans un processus simplifié. </w:t>
      </w:r>
      <w:r w:rsidR="003C5EFA" w:rsidRPr="008D6952">
        <w:rPr>
          <w:rFonts w:ascii="Avenir Book" w:hAnsi="Avenir Book"/>
        </w:rPr>
        <w:t xml:space="preserve">En outre, cette modalité favorise la mise en œuvre de partenariats privé/public. </w:t>
      </w:r>
      <w:r w:rsidRPr="008D6952">
        <w:rPr>
          <w:rFonts w:ascii="Avenir Book" w:hAnsi="Avenir Book"/>
        </w:rPr>
        <w:t>Bref, l’enjeu education/compétences est partagé et tous peuvent y participer.</w:t>
      </w:r>
    </w:p>
    <w:p w14:paraId="3DD6AF04" w14:textId="5CDDE086" w:rsidR="005527CF" w:rsidRPr="008D6952" w:rsidRDefault="009F7D86" w:rsidP="00232D2B">
      <w:pPr>
        <w:jc w:val="both"/>
        <w:rPr>
          <w:rFonts w:ascii="Avenir Book" w:hAnsi="Avenir Book"/>
        </w:rPr>
      </w:pPr>
      <w:r w:rsidRPr="008D6952">
        <w:rPr>
          <w:rFonts w:ascii="Avenir Book" w:hAnsi="Avenir Book"/>
          <w:b/>
          <w:bCs/>
        </w:rPr>
        <w:t>Les règles de financement sont stabilisées</w:t>
      </w:r>
      <w:r w:rsidRPr="008D6952">
        <w:rPr>
          <w:rFonts w:ascii="Avenir Book" w:hAnsi="Avenir Book"/>
        </w:rPr>
        <w:t>…Politique publique</w:t>
      </w:r>
      <w:r w:rsidR="003C5EFA" w:rsidRPr="008D6952">
        <w:rPr>
          <w:rFonts w:ascii="Avenir Book" w:hAnsi="Avenir Book"/>
        </w:rPr>
        <w:t xml:space="preserve"> </w:t>
      </w:r>
      <w:r w:rsidR="005527CF" w:rsidRPr="008D6952">
        <w:rPr>
          <w:rFonts w:ascii="Avenir Book" w:hAnsi="Avenir Book"/>
        </w:rPr>
        <w:t>é</w:t>
      </w:r>
      <w:r w:rsidR="003C5EFA" w:rsidRPr="008D6952">
        <w:rPr>
          <w:rFonts w:ascii="Avenir Book" w:hAnsi="Avenir Book"/>
        </w:rPr>
        <w:t>ducative</w:t>
      </w:r>
      <w:r w:rsidRPr="008D6952">
        <w:rPr>
          <w:rFonts w:ascii="Avenir Book" w:hAnsi="Avenir Book"/>
        </w:rPr>
        <w:t>, l’Etat assume le financement d’une partie de l’apprentissage pour faciliter l’accès de tous les jeunes à un enseignement jusqu’au baccalauréat. L’évolution des effectifs étudiants dans le supérieur</w:t>
      </w:r>
      <w:r w:rsidR="006B373F" w:rsidRPr="008D6952">
        <w:rPr>
          <w:rFonts w:ascii="Avenir Book" w:hAnsi="Avenir Book"/>
        </w:rPr>
        <w:t xml:space="preserve">, </w:t>
      </w:r>
      <w:r w:rsidR="00D572C7" w:rsidRPr="008D6952">
        <w:rPr>
          <w:rFonts w:ascii="Avenir Book" w:hAnsi="Avenir Book"/>
        </w:rPr>
        <w:t>contribue à une autre</w:t>
      </w:r>
      <w:r w:rsidRPr="008D6952">
        <w:rPr>
          <w:rFonts w:ascii="Avenir Book" w:hAnsi="Avenir Book"/>
        </w:rPr>
        <w:t xml:space="preserve"> allocation</w:t>
      </w:r>
      <w:r w:rsidR="00DA5290" w:rsidRPr="008D6952">
        <w:rPr>
          <w:rFonts w:ascii="Avenir Book" w:hAnsi="Avenir Book"/>
        </w:rPr>
        <w:t xml:space="preserve"> des budgets</w:t>
      </w:r>
      <w:r w:rsidR="006E0474" w:rsidRPr="008D6952">
        <w:rPr>
          <w:rFonts w:ascii="Avenir Book" w:hAnsi="Avenir Book"/>
        </w:rPr>
        <w:t xml:space="preserve"> </w:t>
      </w:r>
      <w:r w:rsidRPr="008D6952">
        <w:rPr>
          <w:rFonts w:ascii="Avenir Book" w:hAnsi="Avenir Book"/>
        </w:rPr>
        <w:t xml:space="preserve">; </w:t>
      </w:r>
      <w:r w:rsidR="00B645A1">
        <w:rPr>
          <w:rFonts w:ascii="Avenir Book" w:hAnsi="Avenir Book"/>
        </w:rPr>
        <w:t>à</w:t>
      </w:r>
      <w:r w:rsidRPr="008D6952">
        <w:rPr>
          <w:rFonts w:ascii="Avenir Book" w:hAnsi="Avenir Book"/>
        </w:rPr>
        <w:t xml:space="preserve"> ce socle garanti par l’Etat, s’ajoute un financement « complémentaire », la CU</w:t>
      </w:r>
      <w:r w:rsidR="00B645A1">
        <w:rPr>
          <w:rFonts w:ascii="Avenir Book" w:hAnsi="Avenir Book"/>
        </w:rPr>
        <w:t>FP</w:t>
      </w:r>
      <w:r w:rsidRPr="008D6952">
        <w:rPr>
          <w:rFonts w:ascii="Avenir Book" w:hAnsi="Avenir Book"/>
        </w:rPr>
        <w:t xml:space="preserve">A, assise sur la masse </w:t>
      </w:r>
      <w:r w:rsidRPr="00B645A1">
        <w:rPr>
          <w:rFonts w:ascii="Avenir Book" w:hAnsi="Avenir Book"/>
        </w:rPr>
        <w:t>salariale</w:t>
      </w:r>
      <w:r w:rsidR="00F130F3" w:rsidRPr="00B645A1">
        <w:rPr>
          <w:rFonts w:ascii="Avenir Book" w:hAnsi="Avenir Book"/>
        </w:rPr>
        <w:t xml:space="preserve"> des entreprises</w:t>
      </w:r>
      <w:r w:rsidRPr="00B645A1">
        <w:rPr>
          <w:rFonts w:ascii="Avenir Book" w:hAnsi="Avenir Book"/>
        </w:rPr>
        <w:t>.</w:t>
      </w:r>
      <w:r w:rsidRPr="008D6952">
        <w:rPr>
          <w:rFonts w:ascii="Avenir Book" w:hAnsi="Avenir Book"/>
        </w:rPr>
        <w:t xml:space="preserve"> Un reste à charge éventuel, le cas échéant financé par une contribution conventionnelle, notamment pour les secteurs ayant une forte densité de TPE-PME</w:t>
      </w:r>
      <w:r w:rsidR="00B645A1">
        <w:rPr>
          <w:rFonts w:ascii="Avenir Book" w:hAnsi="Avenir Book"/>
        </w:rPr>
        <w:t>,</w:t>
      </w:r>
      <w:r w:rsidRPr="008D6952">
        <w:rPr>
          <w:rFonts w:ascii="Avenir Book" w:hAnsi="Avenir Book"/>
        </w:rPr>
        <w:t xml:space="preserve"> parachève le plan de financement…</w:t>
      </w:r>
    </w:p>
    <w:p w14:paraId="509926A1" w14:textId="4B2C6256" w:rsidR="005527CF" w:rsidRPr="008D6952" w:rsidRDefault="005527CF" w:rsidP="00232D2B">
      <w:pPr>
        <w:jc w:val="both"/>
        <w:rPr>
          <w:rFonts w:ascii="Avenir Book" w:hAnsi="Avenir Book"/>
        </w:rPr>
      </w:pPr>
      <w:r w:rsidRPr="008D6952">
        <w:rPr>
          <w:rFonts w:ascii="Avenir Book" w:hAnsi="Avenir Book"/>
          <w:b/>
          <w:bCs/>
        </w:rPr>
        <w:t>Les modalités de calcul des NPEC font l’objet d’un certain consensus</w:t>
      </w:r>
      <w:r w:rsidRPr="008D6952">
        <w:rPr>
          <w:rFonts w:ascii="Avenir Book" w:hAnsi="Avenir Book"/>
        </w:rPr>
        <w:t xml:space="preserve"> autour des principes suivants : une convergence des NPEC par niveaux et structures de couts</w:t>
      </w:r>
      <w:r w:rsidR="002D2A27" w:rsidRPr="008D6952">
        <w:rPr>
          <w:rFonts w:ascii="Avenir Book" w:hAnsi="Avenir Book"/>
        </w:rPr>
        <w:t xml:space="preserve"> (valeur pivot) qui a fait baisser drastiquement le nombre de valeurs</w:t>
      </w:r>
      <w:r w:rsidR="006E5178">
        <w:rPr>
          <w:rFonts w:ascii="Avenir Book" w:hAnsi="Avenir Book"/>
        </w:rPr>
        <w:t> ;</w:t>
      </w:r>
      <w:r w:rsidR="002D2A27" w:rsidRPr="008D6952">
        <w:rPr>
          <w:rFonts w:ascii="Avenir Book" w:hAnsi="Avenir Book"/>
        </w:rPr>
        <w:t xml:space="preserve"> </w:t>
      </w:r>
      <w:r w:rsidRPr="008D6952">
        <w:rPr>
          <w:rFonts w:ascii="Avenir Book" w:hAnsi="Avenir Book"/>
        </w:rPr>
        <w:t xml:space="preserve">une possibilité de modulation par branches </w:t>
      </w:r>
      <w:r w:rsidR="002D2A27" w:rsidRPr="008D6952">
        <w:rPr>
          <w:rFonts w:ascii="Avenir Book" w:hAnsi="Avenir Book"/>
        </w:rPr>
        <w:t xml:space="preserve">(avec une valeur plancher et une valeur plafond) </w:t>
      </w:r>
      <w:r w:rsidRPr="008D6952">
        <w:rPr>
          <w:rFonts w:ascii="Avenir Book" w:hAnsi="Avenir Book"/>
        </w:rPr>
        <w:t xml:space="preserve">qui intervient en bout de processus pour </w:t>
      </w:r>
      <w:r w:rsidRPr="00B645A1">
        <w:rPr>
          <w:rFonts w:ascii="Avenir Book" w:hAnsi="Avenir Book"/>
        </w:rPr>
        <w:t>qu’elle</w:t>
      </w:r>
      <w:r w:rsidR="00F130F3" w:rsidRPr="00B645A1">
        <w:rPr>
          <w:rFonts w:ascii="Avenir Book" w:hAnsi="Avenir Book"/>
        </w:rPr>
        <w:t>s</w:t>
      </w:r>
      <w:r w:rsidRPr="008D6952">
        <w:rPr>
          <w:rFonts w:ascii="Avenir Book" w:hAnsi="Avenir Book"/>
          <w:b/>
          <w:bCs/>
        </w:rPr>
        <w:t xml:space="preserve"> </w:t>
      </w:r>
      <w:r w:rsidRPr="008D6952">
        <w:rPr>
          <w:rFonts w:ascii="Avenir Book" w:hAnsi="Avenir Book"/>
        </w:rPr>
        <w:t>puisse</w:t>
      </w:r>
      <w:r w:rsidR="003E5C0F" w:rsidRPr="008D6952">
        <w:rPr>
          <w:rFonts w:ascii="Avenir Book" w:hAnsi="Avenir Book"/>
        </w:rPr>
        <w:t>nt</w:t>
      </w:r>
      <w:r w:rsidRPr="008D6952">
        <w:rPr>
          <w:rFonts w:ascii="Avenir Book" w:hAnsi="Avenir Book"/>
        </w:rPr>
        <w:t xml:space="preserve"> mesurer l’effet réel de leurs décisions</w:t>
      </w:r>
      <w:r w:rsidR="006E5178">
        <w:rPr>
          <w:rFonts w:ascii="Avenir Book" w:hAnsi="Avenir Book"/>
        </w:rPr>
        <w:t xml:space="preserve"> ; </w:t>
      </w:r>
      <w:r w:rsidRPr="008D6952">
        <w:rPr>
          <w:rFonts w:ascii="Avenir Book" w:hAnsi="Avenir Book"/>
        </w:rPr>
        <w:t xml:space="preserve">une majoration possible décidée de façon quadripartite pour une ou deux </w:t>
      </w:r>
      <w:r w:rsidRPr="008D6952">
        <w:rPr>
          <w:rFonts w:ascii="Avenir Book" w:hAnsi="Avenir Book"/>
        </w:rPr>
        <w:lastRenderedPageBreak/>
        <w:t>priorités.</w:t>
      </w:r>
      <w:r w:rsidR="002D2A27" w:rsidRPr="008D6952">
        <w:rPr>
          <w:rFonts w:ascii="Avenir Book" w:hAnsi="Avenir Book"/>
        </w:rPr>
        <w:t xml:space="preserve"> Le co</w:t>
      </w:r>
      <w:r w:rsidR="00B645A1">
        <w:rPr>
          <w:rFonts w:ascii="Avenir Book" w:hAnsi="Avenir Book"/>
        </w:rPr>
        <w:t>û</w:t>
      </w:r>
      <w:r w:rsidR="002D2A27" w:rsidRPr="008D6952">
        <w:rPr>
          <w:rFonts w:ascii="Avenir Book" w:hAnsi="Avenir Book"/>
        </w:rPr>
        <w:t>t d’amorçage est celui de la valeur pivot plancher.</w:t>
      </w:r>
      <w:r w:rsidR="00E36F38">
        <w:rPr>
          <w:rFonts w:ascii="Avenir Book" w:hAnsi="Avenir Book"/>
        </w:rPr>
        <w:t xml:space="preserve"> </w:t>
      </w:r>
      <w:r w:rsidR="00E36F38" w:rsidRPr="00770D86">
        <w:rPr>
          <w:rFonts w:ascii="Avenir Book" w:hAnsi="Avenir Book"/>
        </w:rPr>
        <w:t xml:space="preserve">Ces modalités garantissent une prise en charge </w:t>
      </w:r>
      <w:r w:rsidR="00F8739E" w:rsidRPr="00770D86">
        <w:rPr>
          <w:rFonts w:ascii="Avenir Book" w:hAnsi="Avenir Book"/>
        </w:rPr>
        <w:t>cohérente des formations « transverses ».</w:t>
      </w:r>
    </w:p>
    <w:p w14:paraId="4DD48455" w14:textId="602E99EE" w:rsidR="005527CF" w:rsidRPr="008D6952" w:rsidRDefault="005527CF" w:rsidP="00232D2B">
      <w:pPr>
        <w:jc w:val="both"/>
        <w:rPr>
          <w:rFonts w:ascii="Avenir Book" w:hAnsi="Avenir Book"/>
        </w:rPr>
      </w:pPr>
      <w:r w:rsidRPr="008D6952">
        <w:rPr>
          <w:rFonts w:ascii="Avenir Book" w:hAnsi="Avenir Book"/>
        </w:rPr>
        <w:t xml:space="preserve">Sur cette base, les </w:t>
      </w:r>
      <w:r w:rsidR="002D2A27" w:rsidRPr="008D6952">
        <w:rPr>
          <w:rFonts w:ascii="Avenir Book" w:hAnsi="Avenir Book"/>
        </w:rPr>
        <w:t>NPEC sont majorés du co</w:t>
      </w:r>
      <w:r w:rsidR="00B645A1">
        <w:rPr>
          <w:rFonts w:ascii="Avenir Book" w:hAnsi="Avenir Book"/>
        </w:rPr>
        <w:t>û</w:t>
      </w:r>
      <w:r w:rsidR="002D2A27" w:rsidRPr="008D6952">
        <w:rPr>
          <w:rFonts w:ascii="Avenir Book" w:hAnsi="Avenir Book"/>
        </w:rPr>
        <w:t>t de l’inflation chaque année.</w:t>
      </w:r>
    </w:p>
    <w:p w14:paraId="392AE655" w14:textId="6E518AB6" w:rsidR="009F7D86" w:rsidRPr="008D6952" w:rsidRDefault="009F7D86" w:rsidP="00232D2B">
      <w:pPr>
        <w:jc w:val="both"/>
        <w:rPr>
          <w:rFonts w:ascii="Avenir Book" w:hAnsi="Avenir Book"/>
          <w:b/>
          <w:bCs/>
        </w:rPr>
      </w:pPr>
      <w:r w:rsidRPr="008D6952">
        <w:rPr>
          <w:rFonts w:ascii="Avenir Book" w:hAnsi="Avenir Book"/>
          <w:b/>
          <w:bCs/>
        </w:rPr>
        <w:t xml:space="preserve">Le régime de primes est lui aussi </w:t>
      </w:r>
      <w:r w:rsidR="006E5178">
        <w:rPr>
          <w:rFonts w:ascii="Avenir Book" w:hAnsi="Avenir Book"/>
          <w:b/>
          <w:bCs/>
        </w:rPr>
        <w:t>stabilisée</w:t>
      </w:r>
      <w:r w:rsidRPr="008D6952">
        <w:rPr>
          <w:rFonts w:ascii="Avenir Book" w:hAnsi="Avenir Book"/>
          <w:b/>
          <w:bCs/>
        </w:rPr>
        <w:t xml:space="preserve">. </w:t>
      </w:r>
      <w:r w:rsidRPr="008D6952">
        <w:rPr>
          <w:rFonts w:ascii="Avenir Book" w:hAnsi="Avenir Book"/>
        </w:rPr>
        <w:t xml:space="preserve">Après une </w:t>
      </w:r>
      <w:r w:rsidR="006E5178">
        <w:rPr>
          <w:rFonts w:ascii="Avenir Book" w:hAnsi="Avenir Book"/>
        </w:rPr>
        <w:t>relative constance</w:t>
      </w:r>
      <w:r w:rsidRPr="008D6952">
        <w:rPr>
          <w:rFonts w:ascii="Avenir Book" w:hAnsi="Avenir Book"/>
        </w:rPr>
        <w:t xml:space="preserve"> des aides en 2025, 2026 et 2027, « l’aide unique » </w:t>
      </w:r>
      <w:r w:rsidRPr="00B645A1">
        <w:rPr>
          <w:rFonts w:ascii="Avenir Book" w:hAnsi="Avenir Book"/>
        </w:rPr>
        <w:t>est,</w:t>
      </w:r>
      <w:r w:rsidRPr="008D6952">
        <w:rPr>
          <w:rFonts w:ascii="Avenir Book" w:hAnsi="Avenir Book"/>
        </w:rPr>
        <w:t xml:space="preserve"> pour les entreprises éligibles, </w:t>
      </w:r>
      <w:r w:rsidR="006E0474" w:rsidRPr="00217F25">
        <w:rPr>
          <w:rFonts w:ascii="Avenir Book" w:hAnsi="Avenir Book"/>
        </w:rPr>
        <w:t xml:space="preserve">désormais exprimée en pourcentage du SMIC, dont elle suit l’évolution. </w:t>
      </w:r>
      <w:r w:rsidR="0013160A" w:rsidRPr="00217F25">
        <w:rPr>
          <w:rFonts w:ascii="Avenir Book" w:hAnsi="Avenir Book"/>
        </w:rPr>
        <w:t xml:space="preserve"> </w:t>
      </w:r>
      <w:r w:rsidR="006E0474" w:rsidRPr="00217F25">
        <w:rPr>
          <w:rFonts w:ascii="Avenir Book" w:hAnsi="Avenir Book"/>
        </w:rPr>
        <w:t>Le montant est de 21% pour les ent</w:t>
      </w:r>
      <w:r w:rsidR="006E0474" w:rsidRPr="008D6952">
        <w:rPr>
          <w:rFonts w:ascii="Avenir Book" w:hAnsi="Avenir Book"/>
        </w:rPr>
        <w:t>reprises de moins de 250 salariés et de 7%</w:t>
      </w:r>
      <w:r w:rsidR="00B645A1">
        <w:rPr>
          <w:rFonts w:ascii="Avenir Book" w:hAnsi="Avenir Book"/>
        </w:rPr>
        <w:t xml:space="preserve"> p</w:t>
      </w:r>
      <w:r w:rsidR="006E0474" w:rsidRPr="008D6952">
        <w:rPr>
          <w:rFonts w:ascii="Avenir Book" w:hAnsi="Avenir Book"/>
        </w:rPr>
        <w:t xml:space="preserve">our les entreprises de 250 salariés et plus, soit respectivement </w:t>
      </w:r>
      <w:r w:rsidR="0009309C" w:rsidRPr="008D6952">
        <w:rPr>
          <w:rFonts w:ascii="Avenir Book" w:hAnsi="Avenir Book"/>
        </w:rPr>
        <w:t xml:space="preserve">4540,5 et </w:t>
      </w:r>
      <w:r w:rsidR="006E0474" w:rsidRPr="008D6952">
        <w:rPr>
          <w:rFonts w:ascii="Avenir Book" w:hAnsi="Avenir Book"/>
        </w:rPr>
        <w:t>1513,</w:t>
      </w:r>
      <w:r w:rsidR="0009309C" w:rsidRPr="008D6952">
        <w:rPr>
          <w:rFonts w:ascii="Avenir Book" w:hAnsi="Avenir Book"/>
        </w:rPr>
        <w:t>5</w:t>
      </w:r>
      <w:r w:rsidR="006E0474" w:rsidRPr="008D6952">
        <w:rPr>
          <w:rFonts w:ascii="Avenir Book" w:hAnsi="Avenir Book"/>
        </w:rPr>
        <w:t xml:space="preserve"> </w:t>
      </w:r>
      <w:r w:rsidR="00B645A1" w:rsidRPr="008D6952">
        <w:rPr>
          <w:rFonts w:ascii="Avenir Book" w:hAnsi="Avenir Book"/>
        </w:rPr>
        <w:t xml:space="preserve">euros </w:t>
      </w:r>
      <w:r w:rsidR="00B645A1">
        <w:rPr>
          <w:rFonts w:ascii="Avenir Book" w:hAnsi="Avenir Book"/>
        </w:rPr>
        <w:t>«</w:t>
      </w:r>
      <w:r w:rsidR="0009309C" w:rsidRPr="008D6952">
        <w:rPr>
          <w:rFonts w:ascii="Avenir Book" w:hAnsi="Avenir Book"/>
        </w:rPr>
        <w:t> </w:t>
      </w:r>
      <w:r w:rsidR="006E0474" w:rsidRPr="008D6952">
        <w:rPr>
          <w:rFonts w:ascii="Avenir Book" w:hAnsi="Avenir Book"/>
        </w:rPr>
        <w:t>2025</w:t>
      </w:r>
      <w:r w:rsidR="0009309C" w:rsidRPr="008D6952">
        <w:rPr>
          <w:rFonts w:ascii="Avenir Book" w:hAnsi="Avenir Book"/>
        </w:rPr>
        <w:t xml:space="preserve"> ». </w:t>
      </w:r>
      <w:r w:rsidR="00B645A1">
        <w:rPr>
          <w:rFonts w:ascii="Avenir Book" w:hAnsi="Avenir Book"/>
        </w:rPr>
        <w:t xml:space="preserve"> </w:t>
      </w:r>
      <w:r w:rsidR="00B645A1" w:rsidRPr="008D6952">
        <w:rPr>
          <w:rFonts w:ascii="Avenir Book" w:hAnsi="Avenir Book"/>
        </w:rPr>
        <w:t>Finalement</w:t>
      </w:r>
      <w:r w:rsidR="0009309C" w:rsidRPr="008D6952">
        <w:rPr>
          <w:rFonts w:ascii="Avenir Book" w:hAnsi="Avenir Book"/>
        </w:rPr>
        <w:t xml:space="preserve">, les petites et moyennes entreprises bénéficient d’un apport plus substantiel meme si la capacité de financement des entreprises tient plus à leur marge qu’à leur taille. </w:t>
      </w:r>
      <w:r w:rsidR="0013160A" w:rsidRPr="008D6952">
        <w:rPr>
          <w:rFonts w:ascii="Avenir Book" w:hAnsi="Avenir Book"/>
        </w:rPr>
        <w:t>Bercy et les principaux ministères concernés ont compris que la stabilité participait à la confiance dans la parole publique et à la dynamique de l’apprentissage.</w:t>
      </w:r>
    </w:p>
    <w:p w14:paraId="3DD30CBE" w14:textId="45EF9A2A" w:rsidR="009F7D86" w:rsidRPr="008D6952" w:rsidRDefault="009F7D86" w:rsidP="00232D2B">
      <w:pPr>
        <w:jc w:val="both"/>
        <w:rPr>
          <w:rFonts w:ascii="Avenir Book" w:hAnsi="Avenir Book"/>
          <w:b/>
          <w:bCs/>
        </w:rPr>
      </w:pPr>
      <w:r w:rsidRPr="008D6952">
        <w:rPr>
          <w:rFonts w:ascii="Avenir Book" w:hAnsi="Avenir Book"/>
          <w:b/>
          <w:bCs/>
        </w:rPr>
        <w:t xml:space="preserve">Le nombre de CFA, après un pic en 2025, a diminué </w:t>
      </w:r>
      <w:r w:rsidR="0013160A" w:rsidRPr="008D6952">
        <w:rPr>
          <w:rFonts w:ascii="Avenir Book" w:hAnsi="Avenir Book"/>
          <w:b/>
          <w:bCs/>
        </w:rPr>
        <w:t xml:space="preserve">de 20% </w:t>
      </w:r>
      <w:r w:rsidRPr="008D6952">
        <w:rPr>
          <w:rFonts w:ascii="Avenir Book" w:hAnsi="Avenir Book"/>
          <w:b/>
          <w:bCs/>
        </w:rPr>
        <w:t>et n’excède pas le nombre de 2</w:t>
      </w:r>
      <w:r w:rsidR="0013160A" w:rsidRPr="008D6952">
        <w:rPr>
          <w:rFonts w:ascii="Avenir Book" w:hAnsi="Avenir Book"/>
          <w:b/>
          <w:bCs/>
        </w:rPr>
        <w:t>500.</w:t>
      </w:r>
      <w:r w:rsidRPr="008D6952">
        <w:rPr>
          <w:rFonts w:ascii="Avenir Book" w:hAnsi="Avenir Book"/>
          <w:b/>
          <w:bCs/>
        </w:rPr>
        <w:t xml:space="preserve"> </w:t>
      </w:r>
      <w:r w:rsidRPr="008D6952">
        <w:rPr>
          <w:rFonts w:ascii="Avenir Book" w:hAnsi="Avenir Book"/>
        </w:rPr>
        <w:t xml:space="preserve">Des structures se sont regroupés et la bulle </w:t>
      </w:r>
      <w:r w:rsidR="003C5EFA" w:rsidRPr="008D6952">
        <w:rPr>
          <w:rFonts w:ascii="Avenir Book" w:hAnsi="Avenir Book"/>
        </w:rPr>
        <w:t>« </w:t>
      </w:r>
      <w:r w:rsidRPr="008D6952">
        <w:rPr>
          <w:rFonts w:ascii="Avenir Book" w:hAnsi="Avenir Book"/>
        </w:rPr>
        <w:t>spéculative</w:t>
      </w:r>
      <w:r w:rsidR="003C5EFA" w:rsidRPr="008D6952">
        <w:rPr>
          <w:rFonts w:ascii="Avenir Book" w:hAnsi="Avenir Book"/>
        </w:rPr>
        <w:t> »</w:t>
      </w:r>
      <w:r w:rsidRPr="008D6952">
        <w:rPr>
          <w:rFonts w:ascii="Avenir Book" w:hAnsi="Avenir Book"/>
        </w:rPr>
        <w:t xml:space="preserve"> post-covid du début des années 2020, fruit de la </w:t>
      </w:r>
      <w:r w:rsidR="003C5EFA" w:rsidRPr="008D6952">
        <w:rPr>
          <w:rFonts w:ascii="Avenir Book" w:hAnsi="Avenir Book"/>
        </w:rPr>
        <w:t xml:space="preserve">combinaison entre </w:t>
      </w:r>
      <w:r w:rsidRPr="008D6952">
        <w:rPr>
          <w:rFonts w:ascii="Avenir Book" w:hAnsi="Avenir Book"/>
        </w:rPr>
        <w:t xml:space="preserve">forte progression de l’apprentissage et </w:t>
      </w:r>
      <w:r w:rsidR="003C5EFA" w:rsidRPr="008D6952">
        <w:rPr>
          <w:rFonts w:ascii="Avenir Book" w:hAnsi="Avenir Book"/>
        </w:rPr>
        <w:t>fort</w:t>
      </w:r>
      <w:r w:rsidRPr="008D6952">
        <w:rPr>
          <w:rFonts w:ascii="Avenir Book" w:hAnsi="Avenir Book"/>
        </w:rPr>
        <w:t xml:space="preserve"> volume de liquidités disponibles, s’est dégonflée, non sans quelques tensions jusqu’au début de 2030.</w:t>
      </w:r>
    </w:p>
    <w:p w14:paraId="71F966A8" w14:textId="206D0297" w:rsidR="0081492A" w:rsidRPr="008D6952" w:rsidRDefault="003C5EFA" w:rsidP="0081492A">
      <w:pPr>
        <w:jc w:val="both"/>
        <w:rPr>
          <w:rFonts w:ascii="Avenir Book" w:hAnsi="Avenir Book"/>
        </w:rPr>
      </w:pPr>
      <w:r w:rsidRPr="008D6952">
        <w:rPr>
          <w:rFonts w:ascii="Avenir Book" w:hAnsi="Avenir Book"/>
          <w:b/>
          <w:bCs/>
        </w:rPr>
        <w:t>Le système qualité est plus lisible et efficace</w:t>
      </w:r>
      <w:r w:rsidRPr="008D6952">
        <w:rPr>
          <w:rFonts w:ascii="Avenir Book" w:hAnsi="Avenir Book"/>
        </w:rPr>
        <w:t xml:space="preserve"> ; </w:t>
      </w:r>
      <w:r w:rsidR="00B645A1">
        <w:rPr>
          <w:rFonts w:ascii="Avenir Book" w:hAnsi="Avenir Book"/>
        </w:rPr>
        <w:t>i</w:t>
      </w:r>
      <w:r w:rsidR="00D572C7" w:rsidRPr="008D6952">
        <w:rPr>
          <w:rFonts w:ascii="Avenir Book" w:hAnsi="Avenir Book"/>
        </w:rPr>
        <w:t xml:space="preserve">l repose sur trois piliers : </w:t>
      </w:r>
      <w:r w:rsidR="00B645A1">
        <w:rPr>
          <w:rFonts w:ascii="Avenir Book" w:hAnsi="Avenir Book"/>
        </w:rPr>
        <w:t>u</w:t>
      </w:r>
      <w:r w:rsidR="00D572C7" w:rsidRPr="008D6952">
        <w:rPr>
          <w:rFonts w:ascii="Avenir Book" w:hAnsi="Avenir Book"/>
        </w:rPr>
        <w:t xml:space="preserve">n système d’assurance qualité </w:t>
      </w:r>
      <w:r w:rsidR="00254FEF" w:rsidRPr="008D6952">
        <w:rPr>
          <w:rFonts w:ascii="Avenir Book" w:hAnsi="Avenir Book"/>
        </w:rPr>
        <w:t>robuste et complet</w:t>
      </w:r>
      <w:r w:rsidR="00D572C7" w:rsidRPr="008D6952">
        <w:rPr>
          <w:rFonts w:ascii="Avenir Book" w:hAnsi="Avenir Book"/>
        </w:rPr>
        <w:t xml:space="preserve">, le </w:t>
      </w:r>
      <w:r w:rsidRPr="008D6952">
        <w:rPr>
          <w:rFonts w:ascii="Avenir Book" w:hAnsi="Avenir Book"/>
        </w:rPr>
        <w:t>contrôle de service</w:t>
      </w:r>
      <w:r w:rsidR="00D572C7" w:rsidRPr="008D6952">
        <w:rPr>
          <w:rFonts w:ascii="Avenir Book" w:hAnsi="Avenir Book"/>
        </w:rPr>
        <w:t xml:space="preserve"> fait et la publication d</w:t>
      </w:r>
      <w:r w:rsidR="00254FEF" w:rsidRPr="008D6952">
        <w:rPr>
          <w:rFonts w:ascii="Avenir Book" w:hAnsi="Avenir Book"/>
        </w:rPr>
        <w:t>’</w:t>
      </w:r>
      <w:r w:rsidR="00D572C7" w:rsidRPr="008D6952">
        <w:rPr>
          <w:rFonts w:ascii="Avenir Book" w:hAnsi="Avenir Book"/>
        </w:rPr>
        <w:t>indicateurs pertinents</w:t>
      </w:r>
      <w:r w:rsidR="00254FEF" w:rsidRPr="008D6952">
        <w:rPr>
          <w:rFonts w:ascii="Avenir Book" w:hAnsi="Avenir Book"/>
        </w:rPr>
        <w:t xml:space="preserve"> permettant aux jeunes, </w:t>
      </w:r>
      <w:r w:rsidR="00B645A1">
        <w:rPr>
          <w:rFonts w:ascii="Avenir Book" w:hAnsi="Avenir Book"/>
        </w:rPr>
        <w:t xml:space="preserve">à </w:t>
      </w:r>
      <w:r w:rsidR="00254FEF" w:rsidRPr="008D6952">
        <w:rPr>
          <w:rFonts w:ascii="Avenir Book" w:hAnsi="Avenir Book"/>
        </w:rPr>
        <w:t>leurs familles ainsi qu’aux entreprises de faire leurs choix en ayant connaissance des principales informations</w:t>
      </w:r>
      <w:r w:rsidR="00D572C7" w:rsidRPr="008D6952">
        <w:rPr>
          <w:rFonts w:ascii="Avenir Book" w:hAnsi="Avenir Book"/>
        </w:rPr>
        <w:t xml:space="preserve">. </w:t>
      </w:r>
      <w:r w:rsidR="00CA5DE4" w:rsidRPr="008D6952">
        <w:rPr>
          <w:rFonts w:ascii="Avenir Book" w:hAnsi="Avenir Book"/>
        </w:rPr>
        <w:t xml:space="preserve">S’agissant du système d’assurance qualité, </w:t>
      </w:r>
      <w:r w:rsidRPr="008D6952">
        <w:rPr>
          <w:rFonts w:ascii="Avenir Book" w:hAnsi="Avenir Book"/>
        </w:rPr>
        <w:t>QUALIOPI s’est imposé comme le système d’assurance qualité de l’apprentissage, y compris dans le supérieur, en intégrant un critère et des indicateurs spécifiques</w:t>
      </w:r>
      <w:r w:rsidR="00B645A1">
        <w:rPr>
          <w:rFonts w:ascii="Avenir Book" w:hAnsi="Avenir Book"/>
        </w:rPr>
        <w:t xml:space="preserve">. </w:t>
      </w:r>
      <w:r w:rsidRPr="008D6952">
        <w:rPr>
          <w:rFonts w:ascii="Avenir Book" w:hAnsi="Avenir Book"/>
        </w:rPr>
        <w:t xml:space="preserve">L’explicitation du projet pédagogique est </w:t>
      </w:r>
      <w:r w:rsidRPr="00F83FE5">
        <w:rPr>
          <w:rFonts w:ascii="Avenir Book" w:hAnsi="Avenir Book"/>
        </w:rPr>
        <w:t>devenu</w:t>
      </w:r>
      <w:r w:rsidR="00F130F3" w:rsidRPr="00F83FE5">
        <w:rPr>
          <w:rFonts w:ascii="Avenir Book" w:hAnsi="Avenir Book"/>
        </w:rPr>
        <w:t>e</w:t>
      </w:r>
      <w:r w:rsidRPr="00F83FE5">
        <w:rPr>
          <w:rFonts w:ascii="Avenir Book" w:hAnsi="Avenir Book"/>
        </w:rPr>
        <w:t xml:space="preserve"> un critère</w:t>
      </w:r>
      <w:r w:rsidR="00F130F3" w:rsidRPr="00F83FE5">
        <w:rPr>
          <w:rFonts w:ascii="Avenir Book" w:hAnsi="Avenir Book"/>
        </w:rPr>
        <w:t xml:space="preserve"> pour tous les CFA</w:t>
      </w:r>
      <w:r w:rsidRPr="00F83FE5">
        <w:rPr>
          <w:rFonts w:ascii="Avenir Book" w:hAnsi="Avenir Book"/>
        </w:rPr>
        <w:t>.</w:t>
      </w:r>
      <w:r w:rsidRPr="008D6952">
        <w:rPr>
          <w:rFonts w:ascii="Avenir Book" w:hAnsi="Avenir Book"/>
        </w:rPr>
        <w:t xml:space="preserve"> La qualité des auditeurs et celle des audits s’est considérablement renforcée et homogénéisée. Les cas de non-conformité sont</w:t>
      </w:r>
      <w:r w:rsidR="00254FEF" w:rsidRPr="008D6952">
        <w:rPr>
          <w:rFonts w:ascii="Avenir Book" w:hAnsi="Avenir Book"/>
        </w:rPr>
        <w:t xml:space="preserve"> recensés et</w:t>
      </w:r>
      <w:r w:rsidRPr="008D6952">
        <w:rPr>
          <w:rFonts w:ascii="Avenir Book" w:hAnsi="Avenir Book"/>
        </w:rPr>
        <w:t xml:space="preserve"> analysés et constituent un</w:t>
      </w:r>
      <w:r w:rsidR="00254FEF" w:rsidRPr="008D6952">
        <w:rPr>
          <w:rFonts w:ascii="Avenir Book" w:hAnsi="Avenir Book"/>
        </w:rPr>
        <w:t xml:space="preserve"> baromètre</w:t>
      </w:r>
      <w:r w:rsidRPr="008D6952">
        <w:rPr>
          <w:rFonts w:ascii="Avenir Book" w:hAnsi="Avenir Book"/>
        </w:rPr>
        <w:t xml:space="preserve"> </w:t>
      </w:r>
      <w:r w:rsidR="00254FEF" w:rsidRPr="008D6952">
        <w:rPr>
          <w:rFonts w:ascii="Avenir Book" w:hAnsi="Avenir Book"/>
        </w:rPr>
        <w:t xml:space="preserve">de l’évolution </w:t>
      </w:r>
      <w:r w:rsidRPr="008D6952">
        <w:rPr>
          <w:rFonts w:ascii="Avenir Book" w:hAnsi="Avenir Book"/>
        </w:rPr>
        <w:t>de la qualité. Ces indicateurs sont complétés d’un</w:t>
      </w:r>
      <w:r w:rsidR="005527CF" w:rsidRPr="008D6952">
        <w:rPr>
          <w:rFonts w:ascii="Avenir Book" w:hAnsi="Avenir Book"/>
        </w:rPr>
        <w:t>e enquête</w:t>
      </w:r>
      <w:r w:rsidRPr="008D6952">
        <w:rPr>
          <w:rFonts w:ascii="Avenir Book" w:hAnsi="Avenir Book"/>
        </w:rPr>
        <w:t>, tous les trois ans aupr</w:t>
      </w:r>
      <w:r w:rsidR="005527CF" w:rsidRPr="008D6952">
        <w:rPr>
          <w:rFonts w:ascii="Avenir Book" w:hAnsi="Avenir Book"/>
        </w:rPr>
        <w:t xml:space="preserve">ès des acheteurs/financeurs pour croiser les appréciations sur l’amélioration des pratiques. </w:t>
      </w:r>
      <w:r w:rsidRPr="008D6952">
        <w:rPr>
          <w:rFonts w:ascii="Avenir Book" w:hAnsi="Avenir Book"/>
        </w:rPr>
        <w:t xml:space="preserve">et les organismes auditeurs. </w:t>
      </w:r>
      <w:r w:rsidR="005527CF" w:rsidRPr="008D6952">
        <w:rPr>
          <w:rFonts w:ascii="Avenir Book" w:hAnsi="Avenir Book"/>
        </w:rPr>
        <w:t xml:space="preserve">Une </w:t>
      </w:r>
      <w:r w:rsidR="002D2A27" w:rsidRPr="008D6952">
        <w:rPr>
          <w:rFonts w:ascii="Avenir Book" w:hAnsi="Avenir Book"/>
        </w:rPr>
        <w:t>enquête</w:t>
      </w:r>
      <w:r w:rsidR="005527CF" w:rsidRPr="008D6952">
        <w:rPr>
          <w:rFonts w:ascii="Avenir Book" w:hAnsi="Avenir Book"/>
        </w:rPr>
        <w:t xml:space="preserve"> miroir est</w:t>
      </w:r>
      <w:r w:rsidR="00254FEF" w:rsidRPr="008D6952">
        <w:rPr>
          <w:rFonts w:ascii="Avenir Book" w:hAnsi="Avenir Book"/>
        </w:rPr>
        <w:t xml:space="preserve"> </w:t>
      </w:r>
      <w:r w:rsidR="005527CF" w:rsidRPr="008D6952">
        <w:rPr>
          <w:rFonts w:ascii="Avenir Book" w:hAnsi="Avenir Book"/>
        </w:rPr>
        <w:t xml:space="preserve">menée auprès des organismes sur la qualité des pratiques d’achats. </w:t>
      </w:r>
      <w:r w:rsidR="00254FEF" w:rsidRPr="008D6952">
        <w:rPr>
          <w:rFonts w:ascii="Avenir Book" w:hAnsi="Avenir Book"/>
        </w:rPr>
        <w:t>Le contrôle de service fait est distinct de la responsabilité des financeurs</w:t>
      </w:r>
      <w:r w:rsidR="0081492A" w:rsidRPr="008D6952">
        <w:rPr>
          <w:rFonts w:ascii="Avenir Book" w:hAnsi="Avenir Book"/>
        </w:rPr>
        <w:t xml:space="preserve">. Ils n’ont pas d’autres obligations légales en matière de qualité. La publication des indicateurs porte notamment sur les taux d’assiduité, de réussite aux examens et de poursuite d’études et d’insertion. La publication est effectuée sur une seule plateforme comprenant tous les niveaux de formation et les types </w:t>
      </w:r>
      <w:r w:rsidR="00B645A1" w:rsidRPr="008D6952">
        <w:rPr>
          <w:rFonts w:ascii="Avenir Book" w:hAnsi="Avenir Book"/>
        </w:rPr>
        <w:t xml:space="preserve">d’établissements. </w:t>
      </w:r>
    </w:p>
    <w:p w14:paraId="27A39518" w14:textId="33C6BAAB" w:rsidR="0081492A" w:rsidRPr="008D6952" w:rsidRDefault="0081492A" w:rsidP="00232D2B">
      <w:pPr>
        <w:jc w:val="both"/>
        <w:rPr>
          <w:rFonts w:ascii="Avenir Book" w:hAnsi="Avenir Book"/>
        </w:rPr>
      </w:pPr>
      <w:r w:rsidRPr="008D6952">
        <w:rPr>
          <w:rFonts w:ascii="Avenir Book" w:hAnsi="Avenir Book"/>
        </w:rPr>
        <w:t>Ce système est articulé avec le système qualité de la certification professionnelle, notamment s’agissant de la publication des indicateurs.</w:t>
      </w:r>
      <w:r w:rsidR="00DA5290" w:rsidRPr="008D6952">
        <w:rPr>
          <w:rFonts w:ascii="Avenir Book" w:hAnsi="Avenir Book"/>
        </w:rPr>
        <w:t xml:space="preserve"> Cette distinction a permis de diminuer sensiblement le nombre de contrôles dont nombre faisait doublons et généraient des co</w:t>
      </w:r>
      <w:r w:rsidR="00B645A1">
        <w:rPr>
          <w:rFonts w:ascii="Avenir Book" w:hAnsi="Avenir Book"/>
        </w:rPr>
        <w:t>û</w:t>
      </w:r>
      <w:r w:rsidR="00DA5290" w:rsidRPr="008D6952">
        <w:rPr>
          <w:rFonts w:ascii="Avenir Book" w:hAnsi="Avenir Book"/>
        </w:rPr>
        <w:t>ts importants pour les CFA.</w:t>
      </w:r>
    </w:p>
    <w:p w14:paraId="5EAB5BBB" w14:textId="531E9CB7" w:rsidR="003C5EFA" w:rsidRPr="008D6952" w:rsidRDefault="003C5EFA" w:rsidP="00232D2B">
      <w:pPr>
        <w:jc w:val="both"/>
        <w:rPr>
          <w:rFonts w:ascii="Avenir Book" w:hAnsi="Avenir Book"/>
        </w:rPr>
      </w:pPr>
      <w:r w:rsidRPr="008D6952">
        <w:rPr>
          <w:rFonts w:ascii="Avenir Book" w:hAnsi="Avenir Book"/>
        </w:rPr>
        <w:t>Un système d’alerte entre financeurs, auditeurs et services de contrôle, couplé avec l’utilisation de l’IA permet</w:t>
      </w:r>
      <w:r w:rsidR="00B645A1">
        <w:rPr>
          <w:rFonts w:ascii="Avenir Book" w:hAnsi="Avenir Book"/>
        </w:rPr>
        <w:t>tent</w:t>
      </w:r>
      <w:r w:rsidRPr="008D6952">
        <w:rPr>
          <w:rFonts w:ascii="Avenir Book" w:hAnsi="Avenir Book"/>
        </w:rPr>
        <w:t xml:space="preserve"> de déceler plus rapidement les dysfonctionnements, sinon les fraudes.</w:t>
      </w:r>
      <w:r w:rsidR="005527CF" w:rsidRPr="008D6952">
        <w:rPr>
          <w:rFonts w:ascii="Avenir Book" w:hAnsi="Avenir Book"/>
        </w:rPr>
        <w:t xml:space="preserve"> Le tout est analysé par la </w:t>
      </w:r>
      <w:r w:rsidR="00B645A1">
        <w:rPr>
          <w:rFonts w:ascii="Avenir Book" w:hAnsi="Avenir Book"/>
        </w:rPr>
        <w:t>C</w:t>
      </w:r>
      <w:r w:rsidR="005527CF" w:rsidRPr="008D6952">
        <w:rPr>
          <w:rFonts w:ascii="Avenir Book" w:hAnsi="Avenir Book"/>
        </w:rPr>
        <w:t xml:space="preserve">ommission évaluation de France compétence et, pour l’enseignement supérieur, par </w:t>
      </w:r>
      <w:r w:rsidR="00EE0A79" w:rsidRPr="008D6952">
        <w:rPr>
          <w:rFonts w:ascii="Avenir Book" w:hAnsi="Avenir Book"/>
        </w:rPr>
        <w:t>une structure nationale indépendante</w:t>
      </w:r>
      <w:r w:rsidR="005527CF" w:rsidRPr="008D6952">
        <w:rPr>
          <w:rFonts w:ascii="Avenir Book" w:hAnsi="Avenir Book"/>
        </w:rPr>
        <w:t>, réuni</w:t>
      </w:r>
      <w:r w:rsidR="00B645A1">
        <w:rPr>
          <w:rFonts w:ascii="Avenir Book" w:hAnsi="Avenir Book"/>
        </w:rPr>
        <w:t>es</w:t>
      </w:r>
      <w:r w:rsidR="005527CF" w:rsidRPr="008D6952">
        <w:rPr>
          <w:rFonts w:ascii="Avenir Book" w:hAnsi="Avenir Book"/>
        </w:rPr>
        <w:t xml:space="preserve"> deux fois l’an en une séance conjointe</w:t>
      </w:r>
      <w:r w:rsidR="00CA5DE4" w:rsidRPr="008D6952">
        <w:rPr>
          <w:rFonts w:ascii="Avenir Book" w:hAnsi="Avenir Book"/>
        </w:rPr>
        <w:t xml:space="preserve">. </w:t>
      </w:r>
    </w:p>
    <w:p w14:paraId="6EEAEC73" w14:textId="0DB69357" w:rsidR="003C5EFA" w:rsidRPr="008D6952" w:rsidRDefault="003C5EFA" w:rsidP="00232D2B">
      <w:pPr>
        <w:jc w:val="both"/>
        <w:rPr>
          <w:rFonts w:ascii="Avenir Book" w:hAnsi="Avenir Book"/>
        </w:rPr>
      </w:pPr>
      <w:r w:rsidRPr="008D6952">
        <w:rPr>
          <w:rFonts w:ascii="Avenir Book" w:hAnsi="Avenir Book"/>
          <w:b/>
          <w:bCs/>
        </w:rPr>
        <w:t xml:space="preserve">Bien </w:t>
      </w:r>
      <w:r w:rsidR="00B645A1" w:rsidRPr="008D6952">
        <w:rPr>
          <w:rFonts w:ascii="Avenir Book" w:hAnsi="Avenir Book"/>
          <w:b/>
          <w:bCs/>
        </w:rPr>
        <w:t>sûr</w:t>
      </w:r>
      <w:r w:rsidRPr="008D6952">
        <w:rPr>
          <w:rFonts w:ascii="Avenir Book" w:hAnsi="Avenir Book"/>
          <w:b/>
          <w:bCs/>
        </w:rPr>
        <w:t>, tout n’est pas parfait et des efforts reste</w:t>
      </w:r>
      <w:r w:rsidR="00F130F3" w:rsidRPr="008D6952">
        <w:rPr>
          <w:rFonts w:ascii="Avenir Book" w:hAnsi="Avenir Book"/>
          <w:b/>
          <w:bCs/>
        </w:rPr>
        <w:t>nt</w:t>
      </w:r>
      <w:r w:rsidRPr="008D6952">
        <w:rPr>
          <w:rFonts w:ascii="Avenir Book" w:hAnsi="Avenir Book"/>
          <w:b/>
          <w:bCs/>
        </w:rPr>
        <w:t xml:space="preserve"> à fournir pour que toutes ces évolutions soient encore davantage partagées. Et puis, nous n’en avons pas fini avec nos réflexes…</w:t>
      </w:r>
      <w:r w:rsidR="00B645A1">
        <w:rPr>
          <w:rFonts w:ascii="Avenir Book" w:hAnsi="Avenir Book"/>
          <w:b/>
          <w:bCs/>
        </w:rPr>
        <w:t xml:space="preserve"> </w:t>
      </w:r>
      <w:r w:rsidRPr="008D6952">
        <w:rPr>
          <w:rFonts w:ascii="Avenir Book" w:hAnsi="Avenir Book"/>
        </w:rPr>
        <w:t xml:space="preserve">Bercy préfère </w:t>
      </w:r>
      <w:r w:rsidRPr="008D6952">
        <w:rPr>
          <w:rFonts w:ascii="Avenir Book" w:hAnsi="Avenir Book"/>
        </w:rPr>
        <w:lastRenderedPageBreak/>
        <w:t>surjouer son role de « cost-killer » plutôt que celui « d’actionnaire de référence », laissant au Ministère du travail le soin d’annoncer les mauvaises nouvelles, m</w:t>
      </w:r>
      <w:r w:rsidR="00B645A1">
        <w:rPr>
          <w:rFonts w:ascii="Avenir Book" w:hAnsi="Avenir Book"/>
        </w:rPr>
        <w:t>ê</w:t>
      </w:r>
      <w:r w:rsidRPr="008D6952">
        <w:rPr>
          <w:rFonts w:ascii="Avenir Book" w:hAnsi="Avenir Book"/>
        </w:rPr>
        <w:t>me si elles sont plus rares. L’antagonisme public/privé n’est pas mort, en dépit de partenariats plus fréquents. Le</w:t>
      </w:r>
      <w:r w:rsidR="00F55370" w:rsidRPr="008D6952">
        <w:rPr>
          <w:rFonts w:ascii="Avenir Book" w:hAnsi="Avenir Book"/>
        </w:rPr>
        <w:t xml:space="preserve"> Gouvernement et les partenaires sociaux </w:t>
      </w:r>
      <w:r w:rsidRPr="008D6952">
        <w:rPr>
          <w:rFonts w:ascii="Avenir Book" w:hAnsi="Avenir Book"/>
        </w:rPr>
        <w:t xml:space="preserve">s’échinent </w:t>
      </w:r>
      <w:r w:rsidR="00F55370" w:rsidRPr="008D6952">
        <w:rPr>
          <w:rFonts w:ascii="Avenir Book" w:hAnsi="Avenir Book"/>
        </w:rPr>
        <w:t>à chaque transposition d’accords dans la loi ;</w:t>
      </w:r>
      <w:r w:rsidRPr="008D6952">
        <w:rPr>
          <w:rFonts w:ascii="Avenir Book" w:hAnsi="Avenir Book"/>
        </w:rPr>
        <w:t xml:space="preserve"> </w:t>
      </w:r>
      <w:r w:rsidR="00F55370" w:rsidRPr="008D6952">
        <w:rPr>
          <w:rFonts w:ascii="Avenir Book" w:hAnsi="Avenir Book"/>
        </w:rPr>
        <w:t>l</w:t>
      </w:r>
      <w:r w:rsidRPr="008D6952">
        <w:rPr>
          <w:rFonts w:ascii="Avenir Book" w:hAnsi="Avenir Book"/>
        </w:rPr>
        <w:t xml:space="preserve">e millefeuille territorial s’est transformé en pate </w:t>
      </w:r>
      <w:proofErr w:type="spellStart"/>
      <w:r w:rsidRPr="008D6952">
        <w:rPr>
          <w:rFonts w:ascii="Avenir Book" w:hAnsi="Avenir Book"/>
        </w:rPr>
        <w:t>filo</w:t>
      </w:r>
      <w:proofErr w:type="spellEnd"/>
      <w:r w:rsidRPr="008D6952">
        <w:rPr>
          <w:rFonts w:ascii="Avenir Book" w:hAnsi="Avenir Book"/>
        </w:rPr>
        <w:t xml:space="preserve"> …</w:t>
      </w:r>
      <w:r w:rsidR="00F55370" w:rsidRPr="008D6952">
        <w:rPr>
          <w:rFonts w:ascii="Avenir Book" w:hAnsi="Avenir Book"/>
        </w:rPr>
        <w:t> ; l</w:t>
      </w:r>
      <w:r w:rsidRPr="008D6952">
        <w:rPr>
          <w:rFonts w:ascii="Avenir Book" w:hAnsi="Avenir Book"/>
        </w:rPr>
        <w:t>a mobilité européenne des apprentis, en dépit d’une légère progression, peine à s’imposer.</w:t>
      </w:r>
      <w:r w:rsidR="002D2A27" w:rsidRPr="008D6952">
        <w:rPr>
          <w:rFonts w:ascii="Avenir Book" w:hAnsi="Avenir Book"/>
        </w:rPr>
        <w:t xml:space="preserve"> Cependant entre séjours courts et longs (plus d’un mois) le nombre d’apprentis concerné est de </w:t>
      </w:r>
      <w:r w:rsidR="007F05B6" w:rsidRPr="008D6952">
        <w:rPr>
          <w:rFonts w:ascii="Avenir Book" w:hAnsi="Avenir Book"/>
        </w:rPr>
        <w:t>7</w:t>
      </w:r>
      <w:r w:rsidR="002D2A27" w:rsidRPr="008D6952">
        <w:rPr>
          <w:rFonts w:ascii="Avenir Book" w:hAnsi="Avenir Book"/>
        </w:rPr>
        <w:t>%</w:t>
      </w:r>
      <w:r w:rsidR="00EE0A79" w:rsidRPr="008D6952">
        <w:rPr>
          <w:rStyle w:val="Appelnotedebasdep"/>
          <w:rFonts w:ascii="Avenir Book" w:hAnsi="Avenir Book"/>
        </w:rPr>
        <w:footnoteReference w:id="10"/>
      </w:r>
      <w:r w:rsidR="002D2A27" w:rsidRPr="008D6952">
        <w:rPr>
          <w:rFonts w:ascii="Avenir Book" w:hAnsi="Avenir Book"/>
        </w:rPr>
        <w:t>.</w:t>
      </w:r>
      <w:r w:rsidRPr="008D6952">
        <w:rPr>
          <w:rFonts w:ascii="Avenir Book" w:hAnsi="Avenir Book"/>
        </w:rPr>
        <w:t xml:space="preserve"> </w:t>
      </w:r>
      <w:r w:rsidR="00F20D68" w:rsidRPr="008D6952">
        <w:rPr>
          <w:rFonts w:ascii="Avenir Book" w:hAnsi="Avenir Book"/>
        </w:rPr>
        <w:t>Il</w:t>
      </w:r>
      <w:r w:rsidRPr="008D6952">
        <w:rPr>
          <w:rFonts w:ascii="Avenir Book" w:hAnsi="Avenir Book"/>
        </w:rPr>
        <w:t xml:space="preserve"> est vrai que la multiplication des tensions internationales ne la favorise pas. Le calendrier scolaire reste la référence en dépit d’un nombre croissant d’ouvertures de sessions en cours d’année…</w:t>
      </w:r>
      <w:r w:rsidR="00B645A1">
        <w:rPr>
          <w:rFonts w:ascii="Avenir Book" w:hAnsi="Avenir Book"/>
        </w:rPr>
        <w:t xml:space="preserve"> B</w:t>
      </w:r>
      <w:r w:rsidRPr="008D6952">
        <w:rPr>
          <w:rFonts w:ascii="Avenir Book" w:hAnsi="Avenir Book"/>
        </w:rPr>
        <w:t>ref, nous sommes français…avec nos qualités et nos défauts</w:t>
      </w:r>
      <w:r w:rsidR="00F55370" w:rsidRPr="008D6952">
        <w:rPr>
          <w:rFonts w:ascii="Avenir Book" w:hAnsi="Avenir Book"/>
        </w:rPr>
        <w:t xml:space="preserve"> et </w:t>
      </w:r>
      <w:r w:rsidRPr="008D6952">
        <w:rPr>
          <w:rFonts w:ascii="Avenir Book" w:hAnsi="Avenir Book"/>
        </w:rPr>
        <w:t>fiers de l’</w:t>
      </w:r>
      <w:r w:rsidR="00B645A1">
        <w:rPr>
          <w:rFonts w:ascii="Avenir Book" w:hAnsi="Avenir Book"/>
        </w:rPr>
        <w:t>ê</w:t>
      </w:r>
      <w:r w:rsidRPr="008D6952">
        <w:rPr>
          <w:rFonts w:ascii="Avenir Book" w:hAnsi="Avenir Book"/>
        </w:rPr>
        <w:t>tre</w:t>
      </w:r>
      <w:r w:rsidR="00F55370" w:rsidRPr="008D6952">
        <w:rPr>
          <w:rFonts w:ascii="Avenir Book" w:hAnsi="Avenir Book"/>
        </w:rPr>
        <w:t> !</w:t>
      </w:r>
    </w:p>
    <w:p w14:paraId="73B97F89" w14:textId="77777777" w:rsidR="00BD6AB2" w:rsidRDefault="00BD6AB2">
      <w:pPr>
        <w:rPr>
          <w:rFonts w:ascii="Avenir Book" w:hAnsi="Avenir Book"/>
        </w:rPr>
      </w:pPr>
    </w:p>
    <w:p w14:paraId="4147962B" w14:textId="77777777" w:rsidR="000B74B3" w:rsidRDefault="000B74B3" w:rsidP="0071090D">
      <w:pPr>
        <w:shd w:val="clear" w:color="auto" w:fill="FFFFFF" w:themeFill="background1"/>
        <w:rPr>
          <w:rFonts w:ascii="Avenir Book" w:hAnsi="Avenir Book"/>
        </w:rPr>
      </w:pP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20"/>
        <w:gridCol w:w="3021"/>
        <w:gridCol w:w="3021"/>
      </w:tblGrid>
      <w:tr w:rsidR="003F37E5" w14:paraId="7BC4CBC4" w14:textId="77777777" w:rsidTr="00AC7275">
        <w:tc>
          <w:tcPr>
            <w:tcW w:w="3020" w:type="dxa"/>
          </w:tcPr>
          <w:p w14:paraId="1C3DB5D3" w14:textId="1C369D07" w:rsidR="003F37E5" w:rsidRPr="007E7C83" w:rsidRDefault="003F37E5" w:rsidP="00191E5E">
            <w:pPr>
              <w:shd w:val="clear" w:color="auto" w:fill="FFFFFF" w:themeFill="background1"/>
              <w:spacing w:after="240"/>
              <w:jc w:val="center"/>
              <w:rPr>
                <w:rFonts w:ascii="Avenir Book" w:hAnsi="Avenir Book"/>
                <w:b/>
                <w:bCs/>
                <w:sz w:val="21"/>
                <w:szCs w:val="21"/>
              </w:rPr>
            </w:pPr>
            <w:r w:rsidRPr="007E7C83">
              <w:rPr>
                <w:rFonts w:ascii="Avenir Book" w:hAnsi="Avenir Book"/>
                <w:b/>
                <w:bCs/>
                <w:sz w:val="21"/>
                <w:szCs w:val="21"/>
              </w:rPr>
              <w:t>Les Acteurs de la Compétence</w:t>
            </w:r>
          </w:p>
        </w:tc>
        <w:tc>
          <w:tcPr>
            <w:tcW w:w="3021" w:type="dxa"/>
          </w:tcPr>
          <w:p w14:paraId="0675335A" w14:textId="5EB0EEA5" w:rsidR="003F37E5" w:rsidRPr="007E7C83" w:rsidRDefault="00124B42" w:rsidP="00191E5E">
            <w:pPr>
              <w:shd w:val="clear" w:color="auto" w:fill="FFFFFF" w:themeFill="background1"/>
              <w:spacing w:after="240"/>
              <w:jc w:val="center"/>
              <w:rPr>
                <w:rFonts w:ascii="Avenir Book" w:hAnsi="Avenir Book"/>
                <w:b/>
                <w:bCs/>
                <w:sz w:val="21"/>
                <w:szCs w:val="21"/>
              </w:rPr>
            </w:pPr>
            <w:r w:rsidRPr="007E7C83">
              <w:rPr>
                <w:rFonts w:ascii="Avenir Book" w:hAnsi="Avenir Book"/>
                <w:b/>
                <w:bCs/>
                <w:sz w:val="21"/>
                <w:szCs w:val="21"/>
              </w:rPr>
              <w:t>Q</w:t>
            </w:r>
            <w:r w:rsidR="003E7D5B" w:rsidRPr="007E7C83">
              <w:rPr>
                <w:rFonts w:ascii="Avenir Book" w:hAnsi="Avenir Book"/>
                <w:b/>
                <w:bCs/>
                <w:sz w:val="21"/>
                <w:szCs w:val="21"/>
              </w:rPr>
              <w:t>u</w:t>
            </w:r>
            <w:r w:rsidRPr="007E7C83">
              <w:rPr>
                <w:rFonts w:ascii="Avenir Book" w:hAnsi="Avenir Book"/>
                <w:b/>
                <w:bCs/>
                <w:sz w:val="21"/>
                <w:szCs w:val="21"/>
              </w:rPr>
              <w:t>intet Conseil</w:t>
            </w:r>
          </w:p>
        </w:tc>
        <w:tc>
          <w:tcPr>
            <w:tcW w:w="3021" w:type="dxa"/>
          </w:tcPr>
          <w:p w14:paraId="593FB30C" w14:textId="116A8A33" w:rsidR="003F37E5" w:rsidRPr="007E7C83" w:rsidRDefault="00990541" w:rsidP="00191E5E">
            <w:pPr>
              <w:shd w:val="clear" w:color="auto" w:fill="FFFFFF" w:themeFill="background1"/>
              <w:spacing w:after="240"/>
              <w:jc w:val="center"/>
              <w:rPr>
                <w:rFonts w:ascii="Avenir Book" w:hAnsi="Avenir Book"/>
                <w:b/>
                <w:bCs/>
                <w:sz w:val="21"/>
                <w:szCs w:val="21"/>
              </w:rPr>
            </w:pPr>
            <w:r w:rsidRPr="007E7C83">
              <w:rPr>
                <w:rFonts w:ascii="Avenir Book" w:hAnsi="Avenir Book"/>
                <w:b/>
                <w:bCs/>
                <w:sz w:val="21"/>
                <w:szCs w:val="21"/>
              </w:rPr>
              <w:t>Association Walt</w:t>
            </w:r>
          </w:p>
        </w:tc>
      </w:tr>
      <w:tr w:rsidR="003F37E5" w14:paraId="65CC78E2" w14:textId="77777777" w:rsidTr="00AC7275">
        <w:tc>
          <w:tcPr>
            <w:tcW w:w="3020" w:type="dxa"/>
          </w:tcPr>
          <w:p w14:paraId="47CA1A6F" w14:textId="31E4AC1A" w:rsidR="003F37E5" w:rsidRPr="00124B42" w:rsidRDefault="003F37E5" w:rsidP="007E7C83">
            <w:pPr>
              <w:shd w:val="clear" w:color="auto" w:fill="FFFFFF" w:themeFill="background1"/>
              <w:jc w:val="center"/>
              <w:rPr>
                <w:rFonts w:ascii="Avenir Book" w:hAnsi="Avenir Book"/>
                <w:sz w:val="21"/>
                <w:szCs w:val="21"/>
              </w:rPr>
            </w:pPr>
            <w:r w:rsidRPr="00124B42">
              <w:rPr>
                <w:rFonts w:ascii="Avenir Book" w:hAnsi="Avenir Book"/>
                <w:sz w:val="21"/>
                <w:szCs w:val="21"/>
              </w:rPr>
              <w:t>Virginie Huguel</w:t>
            </w:r>
            <w:r w:rsidRPr="00124B42">
              <w:rPr>
                <w:rFonts w:ascii="Avenir Book" w:hAnsi="Avenir Book"/>
                <w:sz w:val="21"/>
                <w:szCs w:val="21"/>
              </w:rPr>
              <w:br/>
              <w:t xml:space="preserve">Présidente de </w:t>
            </w:r>
            <w:r w:rsidR="007E7C83">
              <w:rPr>
                <w:rFonts w:ascii="Avenir Book" w:hAnsi="Avenir Book"/>
                <w:sz w:val="21"/>
                <w:szCs w:val="21"/>
              </w:rPr>
              <w:br/>
            </w:r>
            <w:r w:rsidRPr="00124B42">
              <w:rPr>
                <w:rFonts w:ascii="Avenir Book" w:hAnsi="Avenir Book"/>
                <w:sz w:val="21"/>
                <w:szCs w:val="21"/>
              </w:rPr>
              <w:t>la commission alternance</w:t>
            </w:r>
          </w:p>
        </w:tc>
        <w:tc>
          <w:tcPr>
            <w:tcW w:w="3021" w:type="dxa"/>
          </w:tcPr>
          <w:p w14:paraId="2F64F44F" w14:textId="04592E41" w:rsidR="003F37E5" w:rsidRPr="00124B42" w:rsidRDefault="00124B42" w:rsidP="007E7C83">
            <w:pPr>
              <w:shd w:val="clear" w:color="auto" w:fill="FFFFFF" w:themeFill="background1"/>
              <w:jc w:val="center"/>
              <w:rPr>
                <w:rFonts w:ascii="Avenir Book" w:hAnsi="Avenir Book"/>
                <w:sz w:val="21"/>
                <w:szCs w:val="21"/>
              </w:rPr>
            </w:pPr>
            <w:r>
              <w:rPr>
                <w:rFonts w:ascii="Avenir Book" w:hAnsi="Avenir Book"/>
                <w:sz w:val="21"/>
                <w:szCs w:val="21"/>
              </w:rPr>
              <w:t>Alain Druelles</w:t>
            </w:r>
            <w:r>
              <w:rPr>
                <w:rFonts w:ascii="Avenir Book" w:hAnsi="Avenir Book"/>
                <w:sz w:val="21"/>
                <w:szCs w:val="21"/>
              </w:rPr>
              <w:br/>
            </w:r>
            <w:r w:rsidR="00990541" w:rsidRPr="00990541">
              <w:rPr>
                <w:rFonts w:ascii="Avenir Book" w:hAnsi="Avenir Book"/>
                <w:sz w:val="21"/>
                <w:szCs w:val="21"/>
              </w:rPr>
              <w:t>Associé Fondateur</w:t>
            </w:r>
          </w:p>
        </w:tc>
        <w:tc>
          <w:tcPr>
            <w:tcW w:w="3021" w:type="dxa"/>
          </w:tcPr>
          <w:p w14:paraId="4EFD4853" w14:textId="7012906F" w:rsidR="003F37E5" w:rsidRPr="00124B42" w:rsidRDefault="00990541" w:rsidP="007E7C83">
            <w:pPr>
              <w:shd w:val="clear" w:color="auto" w:fill="FFFFFF" w:themeFill="background1"/>
              <w:jc w:val="center"/>
              <w:rPr>
                <w:rFonts w:ascii="Avenir Book" w:hAnsi="Avenir Book"/>
                <w:sz w:val="21"/>
                <w:szCs w:val="21"/>
              </w:rPr>
            </w:pPr>
            <w:r>
              <w:rPr>
                <w:rFonts w:ascii="Avenir Book" w:hAnsi="Avenir Book"/>
                <w:sz w:val="21"/>
                <w:szCs w:val="21"/>
              </w:rPr>
              <w:t>Yves Hinnekint</w:t>
            </w:r>
            <w:r>
              <w:rPr>
                <w:rFonts w:ascii="Avenir Book" w:hAnsi="Avenir Book"/>
                <w:sz w:val="21"/>
                <w:szCs w:val="21"/>
              </w:rPr>
              <w:br/>
            </w:r>
            <w:r w:rsidR="004D7C97">
              <w:rPr>
                <w:rFonts w:ascii="Avenir Book" w:hAnsi="Avenir Book"/>
                <w:sz w:val="21"/>
                <w:szCs w:val="21"/>
              </w:rPr>
              <w:t>Président</w:t>
            </w:r>
          </w:p>
        </w:tc>
      </w:tr>
    </w:tbl>
    <w:p w14:paraId="50A902E5" w14:textId="77777777" w:rsidR="000B74B3" w:rsidRDefault="000B74B3">
      <w:pPr>
        <w:rPr>
          <w:rFonts w:ascii="Avenir Book" w:hAnsi="Avenir Book"/>
        </w:rPr>
      </w:pPr>
    </w:p>
    <w:p w14:paraId="16E71CC0" w14:textId="40A312D8" w:rsidR="000B74B3" w:rsidRDefault="004B2B20">
      <w:pPr>
        <w:rPr>
          <w:rFonts w:ascii="Avenir Book" w:hAnsi="Avenir Book"/>
        </w:rPr>
      </w:pPr>
      <w:r>
        <w:rPr>
          <w:rFonts w:ascii="Avenir Book" w:hAnsi="Avenir Book"/>
        </w:rPr>
        <w:br/>
      </w:r>
    </w:p>
    <w:p w14:paraId="5F5199AF" w14:textId="77777777" w:rsidR="004B2B20" w:rsidRPr="00F92270" w:rsidRDefault="004B2B20">
      <w:pPr>
        <w:rPr>
          <w:rFonts w:ascii="Avenir Book" w:hAnsi="Avenir Book"/>
        </w:rPr>
      </w:pPr>
    </w:p>
    <w:sectPr w:rsidR="004B2B20" w:rsidRPr="00F92270" w:rsidSect="000B74B3">
      <w:headerReference w:type="default" r:id="rId10"/>
      <w:pgSz w:w="11906" w:h="16838"/>
      <w:pgMar w:top="3006"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BE331E" w14:textId="77777777" w:rsidR="00594A64" w:rsidRDefault="00594A64" w:rsidP="00F92270">
      <w:pPr>
        <w:spacing w:after="0" w:line="240" w:lineRule="auto"/>
      </w:pPr>
      <w:r>
        <w:separator/>
      </w:r>
    </w:p>
  </w:endnote>
  <w:endnote w:type="continuationSeparator" w:id="0">
    <w:p w14:paraId="73D7061C" w14:textId="77777777" w:rsidR="00594A64" w:rsidRDefault="00594A64" w:rsidP="00F9227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venir Book">
    <w:altName w:val="Aptos Display"/>
    <w:charset w:val="00"/>
    <w:family w:val="auto"/>
    <w:pitch w:val="variable"/>
    <w:sig w:usb0="800000AF" w:usb1="5000204A" w:usb2="00000000" w:usb3="00000000" w:csb0="0000009B" w:csb1="00000000"/>
  </w:font>
  <w:font w:name="Helvetica">
    <w:panose1 w:val="020B0604020202020204"/>
    <w:charset w:val="00"/>
    <w:family w:val="auto"/>
    <w:pitch w:val="variable"/>
    <w:sig w:usb0="E00002FF" w:usb1="5000785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CD2E1D" w14:textId="77777777" w:rsidR="00594A64" w:rsidRDefault="00594A64" w:rsidP="00F92270">
      <w:pPr>
        <w:spacing w:after="0" w:line="240" w:lineRule="auto"/>
      </w:pPr>
      <w:r>
        <w:separator/>
      </w:r>
    </w:p>
  </w:footnote>
  <w:footnote w:type="continuationSeparator" w:id="0">
    <w:p w14:paraId="2EB5DDF9" w14:textId="77777777" w:rsidR="00594A64" w:rsidRDefault="00594A64" w:rsidP="00F92270">
      <w:pPr>
        <w:spacing w:after="0" w:line="240" w:lineRule="auto"/>
      </w:pPr>
      <w:r>
        <w:continuationSeparator/>
      </w:r>
    </w:p>
  </w:footnote>
  <w:footnote w:id="1">
    <w:p w14:paraId="7546564A" w14:textId="2BA6FE07" w:rsidR="00F92270" w:rsidRPr="00484841" w:rsidRDefault="00F92270" w:rsidP="00DB0B44">
      <w:pPr>
        <w:pStyle w:val="Notedebasdepage"/>
        <w:jc w:val="both"/>
        <w:rPr>
          <w:rFonts w:ascii="Avenir Book" w:hAnsi="Avenir Book"/>
        </w:rPr>
      </w:pPr>
      <w:r>
        <w:rPr>
          <w:rStyle w:val="Appelnotedebasdep"/>
        </w:rPr>
        <w:footnoteRef/>
      </w:r>
      <w:r>
        <w:t xml:space="preserve"> </w:t>
      </w:r>
      <w:r w:rsidRPr="00273361">
        <w:rPr>
          <w:rFonts w:ascii="Avenir Book" w:hAnsi="Avenir Book"/>
        </w:rPr>
        <w:t xml:space="preserve">En mars 2025, le taux de </w:t>
      </w:r>
      <w:r w:rsidR="00273361" w:rsidRPr="00273361">
        <w:rPr>
          <w:rFonts w:ascii="Avenir Book" w:hAnsi="Avenir Book"/>
        </w:rPr>
        <w:t>chômage</w:t>
      </w:r>
      <w:r w:rsidRPr="00273361">
        <w:rPr>
          <w:rFonts w:ascii="Avenir Book" w:hAnsi="Avenir Book"/>
        </w:rPr>
        <w:t xml:space="preserve"> dans l’union européenne est de 14,5</w:t>
      </w:r>
      <w:r w:rsidRPr="00DB0B44">
        <w:rPr>
          <w:rFonts w:ascii="Avenir Book" w:hAnsi="Avenir Book"/>
          <w:color w:val="000000" w:themeColor="text1"/>
        </w:rPr>
        <w:t>%, il est de 17,6%</w:t>
      </w:r>
      <w:r w:rsidR="00F130F3" w:rsidRPr="00DB0B44">
        <w:rPr>
          <w:rFonts w:ascii="Avenir Book" w:hAnsi="Avenir Book"/>
          <w:color w:val="000000" w:themeColor="text1"/>
        </w:rPr>
        <w:t xml:space="preserve"> en France</w:t>
      </w:r>
      <w:r w:rsidRPr="00DB0B44">
        <w:rPr>
          <w:rFonts w:ascii="Avenir Book" w:hAnsi="Avenir Book"/>
          <w:color w:val="000000" w:themeColor="text1"/>
        </w:rPr>
        <w:t xml:space="preserve"> (Eurostat)</w:t>
      </w:r>
    </w:p>
  </w:footnote>
  <w:footnote w:id="2">
    <w:p w14:paraId="233F9EB2" w14:textId="0B316941" w:rsidR="004C32C7" w:rsidRPr="00484841" w:rsidRDefault="004C32C7" w:rsidP="00DB0B44">
      <w:pPr>
        <w:pStyle w:val="Notedebasdepage"/>
        <w:jc w:val="both"/>
        <w:rPr>
          <w:rFonts w:ascii="Avenir Book" w:hAnsi="Avenir Book"/>
        </w:rPr>
      </w:pPr>
      <w:r w:rsidRPr="00484841">
        <w:rPr>
          <w:rFonts w:ascii="Avenir Book" w:hAnsi="Avenir Book"/>
        </w:rPr>
        <w:footnoteRef/>
      </w:r>
      <w:r w:rsidRPr="00484841">
        <w:rPr>
          <w:rFonts w:ascii="Avenir Book" w:hAnsi="Avenir Book"/>
        </w:rPr>
        <w:t xml:space="preserve"> En France, sur une population de 68,6 millions d'habitants, 12,14 millions ont entre 15 et 29 ans, soit 17,7% de la population (Insee). La population a augmenté de 0,25% entre 2024 et 2025, elle </w:t>
      </w:r>
      <w:r w:rsidR="00DB0B44">
        <w:rPr>
          <w:rFonts w:ascii="Avenir Book" w:hAnsi="Avenir Book"/>
        </w:rPr>
        <w:t xml:space="preserve">pourrait </w:t>
      </w:r>
      <w:r w:rsidRPr="00484841">
        <w:rPr>
          <w:rFonts w:ascii="Avenir Book" w:hAnsi="Avenir Book"/>
        </w:rPr>
        <w:t>donc atteindre 70,33 millions en 2035 si la hausse se poursuit. En prenant 17,7% de cette population, on arriverait à une population jeune de 12,45 millions</w:t>
      </w:r>
      <w:r w:rsidR="00484841" w:rsidRPr="00484841">
        <w:rPr>
          <w:rFonts w:ascii="Avenir Book" w:hAnsi="Avenir Book"/>
        </w:rPr>
        <w:t xml:space="preserve"> en 2035 ; la population apprentis </w:t>
      </w:r>
      <w:r w:rsidR="00DB0B44">
        <w:rPr>
          <w:rFonts w:ascii="Avenir Book" w:hAnsi="Avenir Book"/>
        </w:rPr>
        <w:t xml:space="preserve">pourrait </w:t>
      </w:r>
      <w:r w:rsidR="00484841" w:rsidRPr="00484841">
        <w:rPr>
          <w:rFonts w:ascii="Avenir Book" w:hAnsi="Avenir Book"/>
        </w:rPr>
        <w:t xml:space="preserve">alors </w:t>
      </w:r>
      <w:r w:rsidR="00DB0B44">
        <w:rPr>
          <w:rFonts w:ascii="Avenir Book" w:hAnsi="Avenir Book"/>
        </w:rPr>
        <w:t xml:space="preserve">être </w:t>
      </w:r>
      <w:r w:rsidR="00484841" w:rsidRPr="00484841">
        <w:rPr>
          <w:rFonts w:ascii="Avenir Book" w:hAnsi="Avenir Book"/>
        </w:rPr>
        <w:t xml:space="preserve">de </w:t>
      </w:r>
      <w:r w:rsidRPr="00484841">
        <w:rPr>
          <w:rFonts w:ascii="Avenir Book" w:hAnsi="Avenir Book"/>
        </w:rPr>
        <w:t>1,245 million d'apprentis.</w:t>
      </w:r>
    </w:p>
  </w:footnote>
  <w:footnote w:id="3">
    <w:p w14:paraId="5E13F6F5" w14:textId="65AB158C" w:rsidR="00484841" w:rsidRDefault="00484841" w:rsidP="00DB0B4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both"/>
        <w:rPr>
          <w:rFonts w:ascii="Helvetica" w:hAnsi="Helvetica" w:cs="Helvetica"/>
          <w:sz w:val="24"/>
          <w:szCs w:val="24"/>
        </w:rPr>
      </w:pPr>
      <w:r>
        <w:rPr>
          <w:rStyle w:val="Appelnotedebasdep"/>
        </w:rPr>
        <w:footnoteRef/>
      </w:r>
      <w:r>
        <w:t xml:space="preserve"> </w:t>
      </w:r>
      <w:r w:rsidRPr="00484841">
        <w:rPr>
          <w:rFonts w:ascii="Avenir Book" w:hAnsi="Avenir Book"/>
          <w:sz w:val="20"/>
          <w:szCs w:val="20"/>
        </w:rPr>
        <w:t>L’Allemagne compte 13,247 millions de jeunes âgés de 15-29 ans (Eurostat) et 1,214 million d’apprentis ; la part d’apprentis dans la population concernée est de 9,16%. La Suisse compte 1,477 million de jeunes âgés de 15-29 ans (Eurostat) et 211 583 apprentis ; la part d’apprentis dans la population concernée est de 14,32%. Près de 70% des jeunes suisses ont opté pour une formation professionnelle en 2023 (Office fédéral de la statistique). En Allemagne, 50% d'une classe d’âge est orientée dès 10-11 ans vers l'apprentissage (France Travail)</w:t>
      </w:r>
      <w:r>
        <w:rPr>
          <w:rFonts w:ascii="Avenir Book" w:hAnsi="Avenir Book"/>
          <w:sz w:val="20"/>
          <w:szCs w:val="20"/>
        </w:rPr>
        <w:t>.</w:t>
      </w:r>
    </w:p>
    <w:p w14:paraId="28D6A526" w14:textId="3EF5F42A" w:rsidR="00484841" w:rsidRDefault="00484841" w:rsidP="0048484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Helvetica" w:hAnsi="Helvetica" w:cs="Helvetica"/>
          <w:sz w:val="24"/>
          <w:szCs w:val="24"/>
        </w:rPr>
      </w:pPr>
    </w:p>
    <w:p w14:paraId="52966F41" w14:textId="4D8A7560" w:rsidR="00484841" w:rsidRPr="00484841" w:rsidRDefault="00484841" w:rsidP="0048484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Avenir Book" w:hAnsi="Avenir Book"/>
          <w:sz w:val="20"/>
          <w:szCs w:val="20"/>
        </w:rPr>
      </w:pPr>
    </w:p>
    <w:p w14:paraId="125C6873" w14:textId="4450E3A2" w:rsidR="00484841" w:rsidRPr="00484841" w:rsidRDefault="00484841">
      <w:pPr>
        <w:pStyle w:val="Notedebasdepage"/>
        <w:rPr>
          <w:b/>
          <w:bCs/>
        </w:rPr>
      </w:pPr>
    </w:p>
  </w:footnote>
  <w:footnote w:id="4">
    <w:p w14:paraId="7C826037" w14:textId="312BBCCE" w:rsidR="002A1EF5" w:rsidRDefault="002A1EF5" w:rsidP="00DB0B44">
      <w:pPr>
        <w:pStyle w:val="Notedebasdepage"/>
        <w:jc w:val="both"/>
      </w:pPr>
      <w:r>
        <w:rPr>
          <w:rStyle w:val="Appelnotedebasdep"/>
        </w:rPr>
        <w:footnoteRef/>
      </w:r>
      <w:r>
        <w:t xml:space="preserve"> </w:t>
      </w:r>
      <w:r w:rsidRPr="00AE1E0F">
        <w:rPr>
          <w:rFonts w:ascii="Avenir Book" w:hAnsi="Avenir Book"/>
        </w:rPr>
        <w:t>En 2023, on compte 633 046 élèves en lycées professionnel</w:t>
      </w:r>
      <w:r w:rsidR="00DB0B44">
        <w:rPr>
          <w:rFonts w:ascii="Avenir Book" w:hAnsi="Avenir Book"/>
        </w:rPr>
        <w:t>s</w:t>
      </w:r>
      <w:r w:rsidRPr="00AE1E0F">
        <w:rPr>
          <w:rFonts w:ascii="Avenir Book" w:hAnsi="Avenir Book"/>
        </w:rPr>
        <w:t>, une hausse de 20% porterait cette population à 760 000 (source Depp). En 2024, on compte 880 000</w:t>
      </w:r>
      <w:r w:rsidR="00AE1E0F" w:rsidRPr="00AE1E0F">
        <w:rPr>
          <w:rFonts w:ascii="Avenir Book" w:hAnsi="Avenir Book"/>
        </w:rPr>
        <w:t xml:space="preserve"> entrées en apprentissage</w:t>
      </w:r>
      <w:r w:rsidRPr="00AE1E0F">
        <w:rPr>
          <w:rFonts w:ascii="Avenir Book" w:hAnsi="Avenir Book"/>
        </w:rPr>
        <w:t xml:space="preserve">, </w:t>
      </w:r>
      <w:r w:rsidR="00AE1E0F" w:rsidRPr="00AE1E0F">
        <w:rPr>
          <w:rFonts w:ascii="Avenir Book" w:hAnsi="Avenir Book"/>
        </w:rPr>
        <w:t>une hausse de</w:t>
      </w:r>
      <w:r w:rsidRPr="00AE1E0F">
        <w:rPr>
          <w:rFonts w:ascii="Avenir Book" w:hAnsi="Avenir Book"/>
        </w:rPr>
        <w:t xml:space="preserve"> 20</w:t>
      </w:r>
      <w:r w:rsidR="00AE1E0F" w:rsidRPr="00AE1E0F">
        <w:rPr>
          <w:rFonts w:ascii="Avenir Book" w:hAnsi="Avenir Book"/>
        </w:rPr>
        <w:t xml:space="preserve">% porterait ce chiffre à </w:t>
      </w:r>
      <w:r w:rsidRPr="00AE1E0F">
        <w:rPr>
          <w:rFonts w:ascii="Avenir Book" w:hAnsi="Avenir Book"/>
        </w:rPr>
        <w:t xml:space="preserve">1,056 million (source Poem DARES). La </w:t>
      </w:r>
      <w:r w:rsidR="00AE1E0F" w:rsidRPr="00AE1E0F">
        <w:rPr>
          <w:rFonts w:ascii="Avenir Book" w:hAnsi="Avenir Book"/>
        </w:rPr>
        <w:t>population serait alors de</w:t>
      </w:r>
      <w:r w:rsidRPr="00AE1E0F">
        <w:rPr>
          <w:rFonts w:ascii="Avenir Book" w:hAnsi="Avenir Book"/>
        </w:rPr>
        <w:t xml:space="preserve"> 1,816 million d'</w:t>
      </w:r>
      <w:r w:rsidR="00AE1E0F" w:rsidRPr="00AE1E0F">
        <w:rPr>
          <w:rFonts w:ascii="Avenir Book" w:hAnsi="Avenir Book"/>
        </w:rPr>
        <w:t>élèves</w:t>
      </w:r>
      <w:r w:rsidRPr="00AE1E0F">
        <w:rPr>
          <w:rFonts w:ascii="Avenir Book" w:hAnsi="Avenir Book"/>
        </w:rPr>
        <w:t xml:space="preserve"> sur ces 2 voies.</w:t>
      </w:r>
    </w:p>
  </w:footnote>
  <w:footnote w:id="5">
    <w:p w14:paraId="54B1FD66" w14:textId="20C30F4A" w:rsidR="001A487F" w:rsidRPr="00B363C2" w:rsidRDefault="001A487F" w:rsidP="00DB0B4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both"/>
        <w:rPr>
          <w:rFonts w:ascii="Helvetica" w:hAnsi="Helvetica" w:cs="Helvetica"/>
          <w:sz w:val="24"/>
          <w:szCs w:val="24"/>
        </w:rPr>
      </w:pPr>
      <w:r>
        <w:rPr>
          <w:rStyle w:val="Appelnotedebasdep"/>
        </w:rPr>
        <w:footnoteRef/>
      </w:r>
      <w:r>
        <w:t xml:space="preserve"> </w:t>
      </w:r>
      <w:r w:rsidRPr="001A487F">
        <w:rPr>
          <w:rFonts w:ascii="Avenir Book" w:hAnsi="Avenir Book"/>
          <w:sz w:val="20"/>
          <w:szCs w:val="20"/>
        </w:rPr>
        <w:t xml:space="preserve">Une baisse de la filière générale de 20% porterait cette population à 3,659 millions d'élèves/étudiants. En effet, la population en lycée général et technologique passerait de 1,618 million en 2023 à 1,295 million en 2025. Dans le supérieur, la population passerait de 2,955 millions à 2,364 millions. </w:t>
      </w:r>
    </w:p>
  </w:footnote>
  <w:footnote w:id="6">
    <w:p w14:paraId="400A0088" w14:textId="14652CA2" w:rsidR="007B7672" w:rsidRDefault="007B7672" w:rsidP="00DB0B44">
      <w:pPr>
        <w:pStyle w:val="Notedebasdepage"/>
        <w:jc w:val="both"/>
      </w:pPr>
      <w:r>
        <w:rPr>
          <w:rStyle w:val="Appelnotedebasdep"/>
        </w:rPr>
        <w:footnoteRef/>
      </w:r>
      <w:r>
        <w:t xml:space="preserve"> </w:t>
      </w:r>
      <w:r w:rsidRPr="00B363C2">
        <w:rPr>
          <w:rFonts w:ascii="Avenir Book" w:hAnsi="Avenir Book"/>
        </w:rPr>
        <w:t>En 2023, le taux d’insertion dans l’emploi à 6 mois est de 48% pour les lycéens professionnels</w:t>
      </w:r>
      <w:r w:rsidR="00B363C2" w:rsidRPr="00B363C2">
        <w:rPr>
          <w:rFonts w:ascii="Avenir Book" w:hAnsi="Avenir Book"/>
        </w:rPr>
        <w:t xml:space="preserve"> (</w:t>
      </w:r>
      <w:r w:rsidRPr="00B363C2">
        <w:rPr>
          <w:rFonts w:ascii="Avenir Book" w:hAnsi="Avenir Book"/>
        </w:rPr>
        <w:t>source Depp)</w:t>
      </w:r>
    </w:p>
  </w:footnote>
  <w:footnote w:id="7">
    <w:p w14:paraId="3CEB06B1" w14:textId="1F6C7B1C" w:rsidR="00671B75" w:rsidRDefault="00671B75" w:rsidP="00DB0B44">
      <w:pPr>
        <w:pStyle w:val="Notedebasdepage"/>
        <w:jc w:val="both"/>
      </w:pPr>
      <w:r>
        <w:rPr>
          <w:rStyle w:val="Appelnotedebasdep"/>
        </w:rPr>
        <w:footnoteRef/>
      </w:r>
      <w:r>
        <w:t xml:space="preserve"> </w:t>
      </w:r>
      <w:r w:rsidRPr="00671B75">
        <w:rPr>
          <w:rFonts w:ascii="Avenir Book" w:hAnsi="Avenir Book"/>
        </w:rPr>
        <w:t>Rappelons que l’accès à l’apprentissage dans le supérieur ne date pas de la loi du 5 septembre 2018, mais de la loi Seguin du 23 juillet 1987 qui a élargi l’accès à l’apprentissage à un public plus large.</w:t>
      </w:r>
    </w:p>
  </w:footnote>
  <w:footnote w:id="8">
    <w:p w14:paraId="7254DDF0" w14:textId="6A131894" w:rsidR="000D7A30" w:rsidRDefault="000D7A30" w:rsidP="00DB0B44">
      <w:pPr>
        <w:pStyle w:val="Notedebasdepage"/>
        <w:jc w:val="both"/>
      </w:pPr>
      <w:r>
        <w:rPr>
          <w:rStyle w:val="Appelnotedebasdep"/>
        </w:rPr>
        <w:footnoteRef/>
      </w:r>
      <w:r>
        <w:t xml:space="preserve"> </w:t>
      </w:r>
      <w:r w:rsidRPr="000D7A30">
        <w:rPr>
          <w:rFonts w:ascii="Avenir Book" w:hAnsi="Avenir Book"/>
        </w:rPr>
        <w:t>La part d’apprentis en situation de handicap est passé de 0,7% en 2012 (2026 individus) à 1,7% en 2024 (15 713 individus</w:t>
      </w:r>
      <w:r w:rsidR="00DB0B44">
        <w:rPr>
          <w:rFonts w:ascii="Avenir Book" w:hAnsi="Avenir Book"/>
        </w:rPr>
        <w:t xml:space="preserve">). </w:t>
      </w:r>
      <w:r w:rsidRPr="000D7A30">
        <w:rPr>
          <w:rFonts w:ascii="Avenir Book" w:hAnsi="Avenir Book"/>
        </w:rPr>
        <w:t>(</w:t>
      </w:r>
      <w:r w:rsidR="00DB0B44">
        <w:rPr>
          <w:rFonts w:ascii="Avenir Book" w:hAnsi="Avenir Book"/>
        </w:rPr>
        <w:t>S</w:t>
      </w:r>
      <w:r w:rsidRPr="000D7A30">
        <w:rPr>
          <w:rFonts w:ascii="Avenir Book" w:hAnsi="Avenir Book"/>
        </w:rPr>
        <w:t>ource : Dares). Une hausse à 2,5% porterait le nombre à 31 000 individus.</w:t>
      </w:r>
    </w:p>
  </w:footnote>
  <w:footnote w:id="9">
    <w:p w14:paraId="637D2BF5" w14:textId="6026D7F1" w:rsidR="00973790" w:rsidRDefault="00973790" w:rsidP="00DB0B44">
      <w:pPr>
        <w:pStyle w:val="Notedebasdepage"/>
        <w:jc w:val="both"/>
        <w:rPr>
          <w:rFonts w:ascii="Avenir Book" w:hAnsi="Avenir Book"/>
        </w:rPr>
      </w:pPr>
      <w:r>
        <w:rPr>
          <w:rStyle w:val="Appelnotedebasdep"/>
        </w:rPr>
        <w:footnoteRef/>
      </w:r>
      <w:r>
        <w:t xml:space="preserve"> </w:t>
      </w:r>
      <w:r w:rsidRPr="00973790">
        <w:rPr>
          <w:rFonts w:ascii="Avenir Book" w:hAnsi="Avenir Book"/>
        </w:rPr>
        <w:t>Selon la dernière édition du RUF de France compétences publié en février 2025, le montant moyen sur la période 2020-2023 est de 579M d'euros</w:t>
      </w:r>
      <w:r>
        <w:rPr>
          <w:rFonts w:ascii="Avenir Book" w:hAnsi="Avenir Book"/>
        </w:rPr>
        <w:t xml:space="preserve"> ; une hausse de 30% porterait le montant moyen à </w:t>
      </w:r>
      <w:r w:rsidRPr="00973790">
        <w:rPr>
          <w:rFonts w:ascii="Avenir Book" w:hAnsi="Avenir Book"/>
        </w:rPr>
        <w:t>752,7 M d'euros</w:t>
      </w:r>
    </w:p>
    <w:p w14:paraId="03B31E28" w14:textId="77777777" w:rsidR="0013160A" w:rsidRDefault="0013160A">
      <w:pPr>
        <w:pStyle w:val="Notedebasdepage"/>
      </w:pPr>
    </w:p>
  </w:footnote>
  <w:footnote w:id="10">
    <w:p w14:paraId="7CBF5B52" w14:textId="78756C22" w:rsidR="00EE0A79" w:rsidRDefault="00EE0A79" w:rsidP="00DB0B44">
      <w:pPr>
        <w:pStyle w:val="Notedebasdepage"/>
        <w:jc w:val="both"/>
      </w:pPr>
      <w:r>
        <w:rPr>
          <w:rStyle w:val="Appelnotedebasdep"/>
        </w:rPr>
        <w:footnoteRef/>
      </w:r>
      <w:r>
        <w:t xml:space="preserve"> </w:t>
      </w:r>
      <w:r w:rsidR="005E3ABF" w:rsidRPr="00F20D68">
        <w:rPr>
          <w:rFonts w:ascii="Avenir Book" w:hAnsi="Avenir Book"/>
        </w:rPr>
        <w:t>Selon le rapport IGAS, en 2018-2019</w:t>
      </w:r>
      <w:r w:rsidR="00F20D68" w:rsidRPr="00F20D68">
        <w:rPr>
          <w:rFonts w:ascii="Avenir Book" w:hAnsi="Avenir Book"/>
        </w:rPr>
        <w:t>, la France compte 7800 apprentis en mobilité. Augmenter la part d’apprentis en mobilité à 7% conduirait à une population de 87 150 apprentis.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FBAC4C" w14:textId="5FE76F6C" w:rsidR="000B74B3" w:rsidRDefault="000B74B3">
    <w:pPr>
      <w:pStyle w:val="En-tte"/>
    </w:pPr>
    <w:r>
      <w:rPr>
        <w:rFonts w:ascii="Avenir Book" w:hAnsi="Avenir Book"/>
        <w:noProof/>
      </w:rPr>
      <w:drawing>
        <wp:inline distT="0" distB="0" distL="0" distR="0" wp14:anchorId="0F8DFC68" wp14:editId="5518CDFD">
          <wp:extent cx="2040466" cy="885731"/>
          <wp:effectExtent l="0" t="0" r="4445" b="3810"/>
          <wp:docPr id="1352360418" name="Image 1" descr="Une image contenant Police, texte, Graphique, logo&#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52360418" name="Image 1" descr="Une image contenant Police, texte, Graphique, logo&#10;&#10;Le contenu généré par l’IA peut être incorrect."/>
                  <pic:cNvPicPr/>
                </pic:nvPicPr>
                <pic:blipFill>
                  <a:blip r:embed="rId1" cstate="print">
                    <a:extLst>
                      <a:ext uri="{28A0092B-C50C-407E-A947-70E740481C1C}">
                        <a14:useLocalDpi xmlns:a14="http://schemas.microsoft.com/office/drawing/2010/main" val="0"/>
                      </a:ext>
                    </a:extLst>
                  </a:blip>
                  <a:stretch>
                    <a:fillRect/>
                  </a:stretch>
                </pic:blipFill>
                <pic:spPr>
                  <a:xfrm>
                    <a:off x="0" y="0"/>
                    <a:ext cx="2055127" cy="892095"/>
                  </a:xfrm>
                  <a:prstGeom prst="rect">
                    <a:avLst/>
                  </a:prstGeom>
                </pic:spPr>
              </pic:pic>
            </a:graphicData>
          </a:graphic>
        </wp:inline>
      </w:drawing>
    </w:r>
    <w:r>
      <w:rPr>
        <w:rFonts w:ascii="Avenir Book" w:hAnsi="Avenir Book"/>
        <w:noProof/>
      </w:rPr>
      <w:t xml:space="preserve">      </w:t>
    </w:r>
    <w:r w:rsidRPr="000B74B3">
      <w:rPr>
        <w:rFonts w:ascii="Avenir Book" w:hAnsi="Avenir Book"/>
        <w:noProof/>
      </w:rPr>
      <w:t xml:space="preserve"> </w:t>
    </w:r>
    <w:r>
      <w:rPr>
        <w:rFonts w:ascii="Avenir Book" w:hAnsi="Avenir Book"/>
        <w:noProof/>
      </w:rPr>
      <w:drawing>
        <wp:inline distT="0" distB="0" distL="0" distR="0" wp14:anchorId="487E0674" wp14:editId="25CA6470">
          <wp:extent cx="1062567" cy="1062567"/>
          <wp:effectExtent l="0" t="0" r="4445" b="4445"/>
          <wp:docPr id="229646849" name="Image 2" descr="Une image contenant Police, Graphique, typographie, graphisme&#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9646849" name="Image 2" descr="Une image contenant Police, Graphique, typographie, graphisme&#10;&#10;Le contenu généré par l’IA peut être incorrect."/>
                  <pic:cNvPicPr/>
                </pic:nvPicPr>
                <pic:blipFill>
                  <a:blip r:embed="rId2">
                    <a:extLst>
                      <a:ext uri="{28A0092B-C50C-407E-A947-70E740481C1C}">
                        <a14:useLocalDpi xmlns:a14="http://schemas.microsoft.com/office/drawing/2010/main" val="0"/>
                      </a:ext>
                    </a:extLst>
                  </a:blip>
                  <a:stretch>
                    <a:fillRect/>
                  </a:stretch>
                </pic:blipFill>
                <pic:spPr>
                  <a:xfrm>
                    <a:off x="0" y="0"/>
                    <a:ext cx="1067279" cy="1067279"/>
                  </a:xfrm>
                  <a:prstGeom prst="rect">
                    <a:avLst/>
                  </a:prstGeom>
                </pic:spPr>
              </pic:pic>
            </a:graphicData>
          </a:graphic>
        </wp:inline>
      </w:drawing>
    </w:r>
    <w:r>
      <w:rPr>
        <w:rFonts w:ascii="Avenir Book" w:hAnsi="Avenir Book"/>
        <w:noProof/>
      </w:rPr>
      <w:t xml:space="preserve">       </w:t>
    </w:r>
    <w:r>
      <w:rPr>
        <w:rFonts w:ascii="Avenir Book" w:hAnsi="Avenir Book"/>
        <w:noProof/>
      </w:rPr>
      <w:drawing>
        <wp:inline distT="0" distB="0" distL="0" distR="0" wp14:anchorId="747542D6" wp14:editId="5191EF2C">
          <wp:extent cx="2086187" cy="929034"/>
          <wp:effectExtent l="0" t="0" r="0" b="0"/>
          <wp:docPr id="2059772613" name="Image 3" descr="Une image contenant Graphique, capture d’écran, Police, graphisme&#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9772613" name="Image 3" descr="Une image contenant Graphique, capture d’écran, Police, graphisme&#10;&#10;Le contenu généré par l’IA peut être incorrect."/>
                  <pic:cNvPicPr/>
                </pic:nvPicPr>
                <pic:blipFill rotWithShape="1">
                  <a:blip r:embed="rId3" cstate="print">
                    <a:extLst>
                      <a:ext uri="{28A0092B-C50C-407E-A947-70E740481C1C}">
                        <a14:useLocalDpi xmlns:a14="http://schemas.microsoft.com/office/drawing/2010/main" val="0"/>
                      </a:ext>
                    </a:extLst>
                  </a:blip>
                  <a:srcRect t="16353" b="17579"/>
                  <a:stretch/>
                </pic:blipFill>
                <pic:spPr bwMode="auto">
                  <a:xfrm>
                    <a:off x="0" y="0"/>
                    <a:ext cx="2118759" cy="943539"/>
                  </a:xfrm>
                  <a:prstGeom prst="rect">
                    <a:avLst/>
                  </a:prstGeom>
                  <a:ln>
                    <a:noFill/>
                  </a:ln>
                  <a:extLst>
                    <a:ext uri="{53640926-AAD7-44D8-BBD7-CCE9431645EC}">
                      <a14:shadowObscured xmlns:a14="http://schemas.microsoft.com/office/drawing/2010/main"/>
                    </a:ext>
                  </a:extLst>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6AB2"/>
    <w:rsid w:val="000279C6"/>
    <w:rsid w:val="000863A8"/>
    <w:rsid w:val="0009309C"/>
    <w:rsid w:val="000B74B3"/>
    <w:rsid w:val="000C6D80"/>
    <w:rsid w:val="000D7A30"/>
    <w:rsid w:val="000E4C3C"/>
    <w:rsid w:val="00124B42"/>
    <w:rsid w:val="0013160A"/>
    <w:rsid w:val="001543D0"/>
    <w:rsid w:val="00191E5E"/>
    <w:rsid w:val="00197F85"/>
    <w:rsid w:val="001A1337"/>
    <w:rsid w:val="001A487F"/>
    <w:rsid w:val="001E116B"/>
    <w:rsid w:val="00202D19"/>
    <w:rsid w:val="002036F8"/>
    <w:rsid w:val="002103DC"/>
    <w:rsid w:val="00217F25"/>
    <w:rsid w:val="00232D2B"/>
    <w:rsid w:val="0025221F"/>
    <w:rsid w:val="00254FB2"/>
    <w:rsid w:val="00254FEF"/>
    <w:rsid w:val="00264D8D"/>
    <w:rsid w:val="00273361"/>
    <w:rsid w:val="002A1EF5"/>
    <w:rsid w:val="002D2A27"/>
    <w:rsid w:val="002D5ACF"/>
    <w:rsid w:val="00325FD5"/>
    <w:rsid w:val="003C5EFA"/>
    <w:rsid w:val="003E5C0F"/>
    <w:rsid w:val="003E7D5B"/>
    <w:rsid w:val="003F37E5"/>
    <w:rsid w:val="00433C55"/>
    <w:rsid w:val="00484841"/>
    <w:rsid w:val="004B2B20"/>
    <w:rsid w:val="004C32C7"/>
    <w:rsid w:val="004D7C97"/>
    <w:rsid w:val="004F40C9"/>
    <w:rsid w:val="005527CF"/>
    <w:rsid w:val="00594A64"/>
    <w:rsid w:val="005D136F"/>
    <w:rsid w:val="005E3ABF"/>
    <w:rsid w:val="00601671"/>
    <w:rsid w:val="0060743F"/>
    <w:rsid w:val="00671B75"/>
    <w:rsid w:val="00682A7F"/>
    <w:rsid w:val="006B373F"/>
    <w:rsid w:val="006E0474"/>
    <w:rsid w:val="006E5178"/>
    <w:rsid w:val="006F34F7"/>
    <w:rsid w:val="0071090D"/>
    <w:rsid w:val="0076353A"/>
    <w:rsid w:val="00770BFD"/>
    <w:rsid w:val="00770D86"/>
    <w:rsid w:val="0077738C"/>
    <w:rsid w:val="007B7672"/>
    <w:rsid w:val="007E7C83"/>
    <w:rsid w:val="007F05B6"/>
    <w:rsid w:val="0081492A"/>
    <w:rsid w:val="00851836"/>
    <w:rsid w:val="008C5D2E"/>
    <w:rsid w:val="008D6952"/>
    <w:rsid w:val="008E61DE"/>
    <w:rsid w:val="008E7DAA"/>
    <w:rsid w:val="0096641D"/>
    <w:rsid w:val="00973790"/>
    <w:rsid w:val="00990541"/>
    <w:rsid w:val="009F7D86"/>
    <w:rsid w:val="00A33561"/>
    <w:rsid w:val="00A65C9E"/>
    <w:rsid w:val="00AB7AFD"/>
    <w:rsid w:val="00AC4884"/>
    <w:rsid w:val="00AC7275"/>
    <w:rsid w:val="00AC7676"/>
    <w:rsid w:val="00AE1E0F"/>
    <w:rsid w:val="00B363C2"/>
    <w:rsid w:val="00B645A1"/>
    <w:rsid w:val="00B7656A"/>
    <w:rsid w:val="00B82745"/>
    <w:rsid w:val="00BD6AB2"/>
    <w:rsid w:val="00C938F9"/>
    <w:rsid w:val="00CA5DE4"/>
    <w:rsid w:val="00CE2245"/>
    <w:rsid w:val="00D109A6"/>
    <w:rsid w:val="00D572C7"/>
    <w:rsid w:val="00D73697"/>
    <w:rsid w:val="00D87DEA"/>
    <w:rsid w:val="00DA5290"/>
    <w:rsid w:val="00DB0B44"/>
    <w:rsid w:val="00E0421D"/>
    <w:rsid w:val="00E36F38"/>
    <w:rsid w:val="00E41CC4"/>
    <w:rsid w:val="00E7411A"/>
    <w:rsid w:val="00EE0A79"/>
    <w:rsid w:val="00EE1346"/>
    <w:rsid w:val="00F130F3"/>
    <w:rsid w:val="00F20D68"/>
    <w:rsid w:val="00F55370"/>
    <w:rsid w:val="00F83FE5"/>
    <w:rsid w:val="00F8739E"/>
    <w:rsid w:val="00F92270"/>
    <w:rsid w:val="00FA3E3F"/>
    <w:rsid w:val="00FF10CA"/>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45E293"/>
  <w15:chartTrackingRefBased/>
  <w15:docId w15:val="{1D96FE19-847A-4B5A-8D15-E85FE51418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BD6AB2"/>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itre2">
    <w:name w:val="heading 2"/>
    <w:basedOn w:val="Normal"/>
    <w:next w:val="Normal"/>
    <w:link w:val="Titre2Car"/>
    <w:uiPriority w:val="9"/>
    <w:semiHidden/>
    <w:unhideWhenUsed/>
    <w:qFormat/>
    <w:rsid w:val="00BD6AB2"/>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itre3">
    <w:name w:val="heading 3"/>
    <w:basedOn w:val="Normal"/>
    <w:next w:val="Normal"/>
    <w:link w:val="Titre3Car"/>
    <w:uiPriority w:val="9"/>
    <w:semiHidden/>
    <w:unhideWhenUsed/>
    <w:qFormat/>
    <w:rsid w:val="00BD6AB2"/>
    <w:pPr>
      <w:keepNext/>
      <w:keepLines/>
      <w:spacing w:before="160" w:after="80"/>
      <w:outlineLvl w:val="2"/>
    </w:pPr>
    <w:rPr>
      <w:rFonts w:eastAsiaTheme="majorEastAsia" w:cstheme="majorBidi"/>
      <w:color w:val="2F5496" w:themeColor="accent1" w:themeShade="BF"/>
      <w:sz w:val="28"/>
      <w:szCs w:val="28"/>
    </w:rPr>
  </w:style>
  <w:style w:type="paragraph" w:styleId="Titre4">
    <w:name w:val="heading 4"/>
    <w:basedOn w:val="Normal"/>
    <w:next w:val="Normal"/>
    <w:link w:val="Titre4Car"/>
    <w:uiPriority w:val="9"/>
    <w:semiHidden/>
    <w:unhideWhenUsed/>
    <w:qFormat/>
    <w:rsid w:val="00BD6AB2"/>
    <w:pPr>
      <w:keepNext/>
      <w:keepLines/>
      <w:spacing w:before="80" w:after="40"/>
      <w:outlineLvl w:val="3"/>
    </w:pPr>
    <w:rPr>
      <w:rFonts w:eastAsiaTheme="majorEastAsia" w:cstheme="majorBidi"/>
      <w:i/>
      <w:iCs/>
      <w:color w:val="2F5496" w:themeColor="accent1" w:themeShade="BF"/>
    </w:rPr>
  </w:style>
  <w:style w:type="paragraph" w:styleId="Titre5">
    <w:name w:val="heading 5"/>
    <w:basedOn w:val="Normal"/>
    <w:next w:val="Normal"/>
    <w:link w:val="Titre5Car"/>
    <w:uiPriority w:val="9"/>
    <w:semiHidden/>
    <w:unhideWhenUsed/>
    <w:qFormat/>
    <w:rsid w:val="00BD6AB2"/>
    <w:pPr>
      <w:keepNext/>
      <w:keepLines/>
      <w:spacing w:before="80" w:after="40"/>
      <w:outlineLvl w:val="4"/>
    </w:pPr>
    <w:rPr>
      <w:rFonts w:eastAsiaTheme="majorEastAsia" w:cstheme="majorBidi"/>
      <w:color w:val="2F5496" w:themeColor="accent1" w:themeShade="BF"/>
    </w:rPr>
  </w:style>
  <w:style w:type="paragraph" w:styleId="Titre6">
    <w:name w:val="heading 6"/>
    <w:basedOn w:val="Normal"/>
    <w:next w:val="Normal"/>
    <w:link w:val="Titre6Car"/>
    <w:uiPriority w:val="9"/>
    <w:semiHidden/>
    <w:unhideWhenUsed/>
    <w:qFormat/>
    <w:rsid w:val="00BD6AB2"/>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BD6AB2"/>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BD6AB2"/>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BD6AB2"/>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BD6AB2"/>
    <w:rPr>
      <w:rFonts w:asciiTheme="majorHAnsi" w:eastAsiaTheme="majorEastAsia" w:hAnsiTheme="majorHAnsi" w:cstheme="majorBidi"/>
      <w:color w:val="2F5496" w:themeColor="accent1" w:themeShade="BF"/>
      <w:sz w:val="40"/>
      <w:szCs w:val="40"/>
    </w:rPr>
  </w:style>
  <w:style w:type="character" w:customStyle="1" w:styleId="Titre2Car">
    <w:name w:val="Titre 2 Car"/>
    <w:basedOn w:val="Policepardfaut"/>
    <w:link w:val="Titre2"/>
    <w:uiPriority w:val="9"/>
    <w:semiHidden/>
    <w:rsid w:val="00BD6AB2"/>
    <w:rPr>
      <w:rFonts w:asciiTheme="majorHAnsi" w:eastAsiaTheme="majorEastAsia" w:hAnsiTheme="majorHAnsi" w:cstheme="majorBidi"/>
      <w:color w:val="2F5496" w:themeColor="accent1" w:themeShade="BF"/>
      <w:sz w:val="32"/>
      <w:szCs w:val="32"/>
    </w:rPr>
  </w:style>
  <w:style w:type="character" w:customStyle="1" w:styleId="Titre3Car">
    <w:name w:val="Titre 3 Car"/>
    <w:basedOn w:val="Policepardfaut"/>
    <w:link w:val="Titre3"/>
    <w:uiPriority w:val="9"/>
    <w:semiHidden/>
    <w:rsid w:val="00BD6AB2"/>
    <w:rPr>
      <w:rFonts w:eastAsiaTheme="majorEastAsia" w:cstheme="majorBidi"/>
      <w:color w:val="2F5496" w:themeColor="accent1" w:themeShade="BF"/>
      <w:sz w:val="28"/>
      <w:szCs w:val="28"/>
    </w:rPr>
  </w:style>
  <w:style w:type="character" w:customStyle="1" w:styleId="Titre4Car">
    <w:name w:val="Titre 4 Car"/>
    <w:basedOn w:val="Policepardfaut"/>
    <w:link w:val="Titre4"/>
    <w:uiPriority w:val="9"/>
    <w:semiHidden/>
    <w:rsid w:val="00BD6AB2"/>
    <w:rPr>
      <w:rFonts w:eastAsiaTheme="majorEastAsia" w:cstheme="majorBidi"/>
      <w:i/>
      <w:iCs/>
      <w:color w:val="2F5496" w:themeColor="accent1" w:themeShade="BF"/>
    </w:rPr>
  </w:style>
  <w:style w:type="character" w:customStyle="1" w:styleId="Titre5Car">
    <w:name w:val="Titre 5 Car"/>
    <w:basedOn w:val="Policepardfaut"/>
    <w:link w:val="Titre5"/>
    <w:uiPriority w:val="9"/>
    <w:semiHidden/>
    <w:rsid w:val="00BD6AB2"/>
    <w:rPr>
      <w:rFonts w:eastAsiaTheme="majorEastAsia" w:cstheme="majorBidi"/>
      <w:color w:val="2F5496" w:themeColor="accent1" w:themeShade="BF"/>
    </w:rPr>
  </w:style>
  <w:style w:type="character" w:customStyle="1" w:styleId="Titre6Car">
    <w:name w:val="Titre 6 Car"/>
    <w:basedOn w:val="Policepardfaut"/>
    <w:link w:val="Titre6"/>
    <w:uiPriority w:val="9"/>
    <w:semiHidden/>
    <w:rsid w:val="00BD6AB2"/>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BD6AB2"/>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BD6AB2"/>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BD6AB2"/>
    <w:rPr>
      <w:rFonts w:eastAsiaTheme="majorEastAsia" w:cstheme="majorBidi"/>
      <w:color w:val="272727" w:themeColor="text1" w:themeTint="D8"/>
    </w:rPr>
  </w:style>
  <w:style w:type="paragraph" w:styleId="Titre">
    <w:name w:val="Title"/>
    <w:basedOn w:val="Normal"/>
    <w:next w:val="Normal"/>
    <w:link w:val="TitreCar"/>
    <w:uiPriority w:val="10"/>
    <w:qFormat/>
    <w:rsid w:val="00BD6AB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BD6AB2"/>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BD6AB2"/>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BD6AB2"/>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BD6AB2"/>
    <w:pPr>
      <w:spacing w:before="160"/>
      <w:jc w:val="center"/>
    </w:pPr>
    <w:rPr>
      <w:i/>
      <w:iCs/>
      <w:color w:val="404040" w:themeColor="text1" w:themeTint="BF"/>
    </w:rPr>
  </w:style>
  <w:style w:type="character" w:customStyle="1" w:styleId="CitationCar">
    <w:name w:val="Citation Car"/>
    <w:basedOn w:val="Policepardfaut"/>
    <w:link w:val="Citation"/>
    <w:uiPriority w:val="29"/>
    <w:rsid w:val="00BD6AB2"/>
    <w:rPr>
      <w:i/>
      <w:iCs/>
      <w:color w:val="404040" w:themeColor="text1" w:themeTint="BF"/>
    </w:rPr>
  </w:style>
  <w:style w:type="paragraph" w:styleId="Paragraphedeliste">
    <w:name w:val="List Paragraph"/>
    <w:basedOn w:val="Normal"/>
    <w:uiPriority w:val="34"/>
    <w:qFormat/>
    <w:rsid w:val="00BD6AB2"/>
    <w:pPr>
      <w:ind w:left="720"/>
      <w:contextualSpacing/>
    </w:pPr>
  </w:style>
  <w:style w:type="character" w:styleId="Accentuationintense">
    <w:name w:val="Intense Emphasis"/>
    <w:basedOn w:val="Policepardfaut"/>
    <w:uiPriority w:val="21"/>
    <w:qFormat/>
    <w:rsid w:val="00BD6AB2"/>
    <w:rPr>
      <w:i/>
      <w:iCs/>
      <w:color w:val="2F5496" w:themeColor="accent1" w:themeShade="BF"/>
    </w:rPr>
  </w:style>
  <w:style w:type="paragraph" w:styleId="Citationintense">
    <w:name w:val="Intense Quote"/>
    <w:basedOn w:val="Normal"/>
    <w:next w:val="Normal"/>
    <w:link w:val="CitationintenseCar"/>
    <w:uiPriority w:val="30"/>
    <w:qFormat/>
    <w:rsid w:val="00BD6AB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tionintenseCar">
    <w:name w:val="Citation intense Car"/>
    <w:basedOn w:val="Policepardfaut"/>
    <w:link w:val="Citationintense"/>
    <w:uiPriority w:val="30"/>
    <w:rsid w:val="00BD6AB2"/>
    <w:rPr>
      <w:i/>
      <w:iCs/>
      <w:color w:val="2F5496" w:themeColor="accent1" w:themeShade="BF"/>
    </w:rPr>
  </w:style>
  <w:style w:type="character" w:styleId="Rfrenceintense">
    <w:name w:val="Intense Reference"/>
    <w:basedOn w:val="Policepardfaut"/>
    <w:uiPriority w:val="32"/>
    <w:qFormat/>
    <w:rsid w:val="00BD6AB2"/>
    <w:rPr>
      <w:b/>
      <w:bCs/>
      <w:smallCaps/>
      <w:color w:val="2F5496" w:themeColor="accent1" w:themeShade="BF"/>
      <w:spacing w:val="5"/>
    </w:rPr>
  </w:style>
  <w:style w:type="character" w:styleId="Marquedecommentaire">
    <w:name w:val="annotation reference"/>
    <w:basedOn w:val="Policepardfaut"/>
    <w:uiPriority w:val="99"/>
    <w:semiHidden/>
    <w:unhideWhenUsed/>
    <w:rsid w:val="00BD6AB2"/>
    <w:rPr>
      <w:sz w:val="16"/>
      <w:szCs w:val="16"/>
    </w:rPr>
  </w:style>
  <w:style w:type="paragraph" w:styleId="Commentaire">
    <w:name w:val="annotation text"/>
    <w:basedOn w:val="Normal"/>
    <w:link w:val="CommentaireCar"/>
    <w:uiPriority w:val="99"/>
    <w:unhideWhenUsed/>
    <w:rsid w:val="00BD6AB2"/>
    <w:pPr>
      <w:spacing w:line="240" w:lineRule="auto"/>
    </w:pPr>
    <w:rPr>
      <w:sz w:val="20"/>
      <w:szCs w:val="20"/>
    </w:rPr>
  </w:style>
  <w:style w:type="character" w:customStyle="1" w:styleId="CommentaireCar">
    <w:name w:val="Commentaire Car"/>
    <w:basedOn w:val="Policepardfaut"/>
    <w:link w:val="Commentaire"/>
    <w:uiPriority w:val="99"/>
    <w:rsid w:val="00BD6AB2"/>
    <w:rPr>
      <w:sz w:val="20"/>
      <w:szCs w:val="20"/>
    </w:rPr>
  </w:style>
  <w:style w:type="character" w:styleId="Lienhypertexte">
    <w:name w:val="Hyperlink"/>
    <w:basedOn w:val="Policepardfaut"/>
    <w:uiPriority w:val="99"/>
    <w:unhideWhenUsed/>
    <w:rsid w:val="009F7D86"/>
    <w:rPr>
      <w:color w:val="0563C1" w:themeColor="hyperlink"/>
      <w:u w:val="single"/>
    </w:rPr>
  </w:style>
  <w:style w:type="paragraph" w:styleId="Objetducommentaire">
    <w:name w:val="annotation subject"/>
    <w:basedOn w:val="Commentaire"/>
    <w:next w:val="Commentaire"/>
    <w:link w:val="ObjetducommentaireCar"/>
    <w:uiPriority w:val="99"/>
    <w:semiHidden/>
    <w:unhideWhenUsed/>
    <w:rsid w:val="00AB7AFD"/>
    <w:rPr>
      <w:b/>
      <w:bCs/>
    </w:rPr>
  </w:style>
  <w:style w:type="character" w:customStyle="1" w:styleId="ObjetducommentaireCar">
    <w:name w:val="Objet du commentaire Car"/>
    <w:basedOn w:val="CommentaireCar"/>
    <w:link w:val="Objetducommentaire"/>
    <w:uiPriority w:val="99"/>
    <w:semiHidden/>
    <w:rsid w:val="00AB7AFD"/>
    <w:rPr>
      <w:b/>
      <w:bCs/>
      <w:sz w:val="20"/>
      <w:szCs w:val="20"/>
    </w:rPr>
  </w:style>
  <w:style w:type="paragraph" w:styleId="Notedebasdepage">
    <w:name w:val="footnote text"/>
    <w:basedOn w:val="Normal"/>
    <w:link w:val="NotedebasdepageCar"/>
    <w:uiPriority w:val="99"/>
    <w:semiHidden/>
    <w:unhideWhenUsed/>
    <w:rsid w:val="00F92270"/>
    <w:pPr>
      <w:spacing w:after="0" w:line="240" w:lineRule="auto"/>
    </w:pPr>
    <w:rPr>
      <w:sz w:val="20"/>
      <w:szCs w:val="20"/>
    </w:rPr>
  </w:style>
  <w:style w:type="character" w:customStyle="1" w:styleId="NotedebasdepageCar">
    <w:name w:val="Note de bas de page Car"/>
    <w:basedOn w:val="Policepardfaut"/>
    <w:link w:val="Notedebasdepage"/>
    <w:uiPriority w:val="99"/>
    <w:semiHidden/>
    <w:rsid w:val="00F92270"/>
    <w:rPr>
      <w:sz w:val="20"/>
      <w:szCs w:val="20"/>
    </w:rPr>
  </w:style>
  <w:style w:type="character" w:styleId="Appelnotedebasdep">
    <w:name w:val="footnote reference"/>
    <w:basedOn w:val="Policepardfaut"/>
    <w:uiPriority w:val="99"/>
    <w:semiHidden/>
    <w:unhideWhenUsed/>
    <w:rsid w:val="00F92270"/>
    <w:rPr>
      <w:vertAlign w:val="superscript"/>
    </w:rPr>
  </w:style>
  <w:style w:type="paragraph" w:styleId="En-tte">
    <w:name w:val="header"/>
    <w:basedOn w:val="Normal"/>
    <w:link w:val="En-tteCar"/>
    <w:uiPriority w:val="99"/>
    <w:unhideWhenUsed/>
    <w:rsid w:val="000B74B3"/>
    <w:pPr>
      <w:tabs>
        <w:tab w:val="center" w:pos="4536"/>
        <w:tab w:val="right" w:pos="9072"/>
      </w:tabs>
      <w:spacing w:after="0" w:line="240" w:lineRule="auto"/>
    </w:pPr>
  </w:style>
  <w:style w:type="character" w:customStyle="1" w:styleId="En-tteCar">
    <w:name w:val="En-tête Car"/>
    <w:basedOn w:val="Policepardfaut"/>
    <w:link w:val="En-tte"/>
    <w:uiPriority w:val="99"/>
    <w:rsid w:val="000B74B3"/>
  </w:style>
  <w:style w:type="paragraph" w:styleId="Pieddepage">
    <w:name w:val="footer"/>
    <w:basedOn w:val="Normal"/>
    <w:link w:val="PieddepageCar"/>
    <w:uiPriority w:val="99"/>
    <w:unhideWhenUsed/>
    <w:rsid w:val="000B74B3"/>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0B74B3"/>
  </w:style>
  <w:style w:type="table" w:styleId="Grilledutableau">
    <w:name w:val="Table Grid"/>
    <w:basedOn w:val="TableauNormal"/>
    <w:uiPriority w:val="39"/>
    <w:rsid w:val="003F37E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7000e708-1aa7-42b7-8b3c-a4e7c4a18076" xsi:nil="true"/>
    <lcf76f155ced4ddcb4097134ff3c332f xmlns="a2d796ee-f239-411c-afbb-d39efbbe9494">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D2B2DC4196B5384DB2EFF55FEB492E72" ma:contentTypeVersion="19" ma:contentTypeDescription="Create a new document." ma:contentTypeScope="" ma:versionID="02dd0a2b0f3da5e439a0fc3c2deeeb0a">
  <xsd:schema xmlns:xsd="http://www.w3.org/2001/XMLSchema" xmlns:xs="http://www.w3.org/2001/XMLSchema" xmlns:p="http://schemas.microsoft.com/office/2006/metadata/properties" xmlns:ns2="a2d796ee-f239-411c-afbb-d39efbbe9494" xmlns:ns3="7000e708-1aa7-42b7-8b3c-a4e7c4a18076" targetNamespace="http://schemas.microsoft.com/office/2006/metadata/properties" ma:root="true" ma:fieldsID="0a408d2ee2f240946c1f805ba031444b" ns2:_="" ns3:_="">
    <xsd:import namespace="a2d796ee-f239-411c-afbb-d39efbbe9494"/>
    <xsd:import namespace="7000e708-1aa7-42b7-8b3c-a4e7c4a1807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Location" minOccurs="0"/>
                <xsd:element ref="ns2:lcf76f155ced4ddcb4097134ff3c332f" minOccurs="0"/>
                <xsd:element ref="ns3:TaxCatchAll" minOccurs="0"/>
                <xsd:element ref="ns3:SharedWithUsers" minOccurs="0"/>
                <xsd:element ref="ns3:SharedWithDetails"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2d796ee-f239-411c-afbb-d39efbbe949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a50ca55c-96eb-47fd-a55a-0e5abdee814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000e708-1aa7-42b7-8b3c-a4e7c4a18076"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9ecb6c33-375f-4752-a6d0-9ff6319e47b4}" ma:internalName="TaxCatchAll" ma:showField="CatchAllData" ma:web="7000e708-1aa7-42b7-8b3c-a4e7c4a18076">
      <xsd:complexType>
        <xsd:complexContent>
          <xsd:extension base="dms:MultiChoiceLookup">
            <xsd:sequence>
              <xsd:element name="Value" type="dms:Lookup" maxOccurs="unbounded" minOccurs="0" nillable="true"/>
            </xsd:sequence>
          </xsd:extension>
        </xsd:complexContent>
      </xsd:complexType>
    </xsd:element>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A19D6F7-9CF0-4E14-98CD-027DB67086E6}">
  <ds:schemaRefs>
    <ds:schemaRef ds:uri="http://schemas.microsoft.com/office/2006/metadata/properties"/>
    <ds:schemaRef ds:uri="http://schemas.microsoft.com/office/infopath/2007/PartnerControls"/>
    <ds:schemaRef ds:uri="7000e708-1aa7-42b7-8b3c-a4e7c4a18076"/>
    <ds:schemaRef ds:uri="a2d796ee-f239-411c-afbb-d39efbbe9494"/>
  </ds:schemaRefs>
</ds:datastoreItem>
</file>

<file path=customXml/itemProps2.xml><?xml version="1.0" encoding="utf-8"?>
<ds:datastoreItem xmlns:ds="http://schemas.openxmlformats.org/officeDocument/2006/customXml" ds:itemID="{480FDD5F-7DF8-4D2C-B5C8-2243045744D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2d796ee-f239-411c-afbb-d39efbbe9494"/>
    <ds:schemaRef ds:uri="7000e708-1aa7-42b7-8b3c-a4e7c4a1807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0DFD6AC-2416-4CA2-A819-C039935F008D}">
  <ds:schemaRefs>
    <ds:schemaRef ds:uri="http://schemas.microsoft.com/sharepoint/v3/contenttype/forms"/>
  </ds:schemaRefs>
</ds:datastoreItem>
</file>

<file path=customXml/itemProps4.xml><?xml version="1.0" encoding="utf-8"?>
<ds:datastoreItem xmlns:ds="http://schemas.openxmlformats.org/officeDocument/2006/customXml" ds:itemID="{5814AFD6-7724-3340-933E-F13AEE68CE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2043</Words>
  <Characters>11240</Characters>
  <Application>Microsoft Office Word</Application>
  <DocSecurity>0</DocSecurity>
  <Lines>93</Lines>
  <Paragraphs>26</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13257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alain druelles</dc:creator>
  <cp:keywords/>
  <dc:description/>
  <cp:lastModifiedBy>Claire Khecha</cp:lastModifiedBy>
  <cp:revision>2</cp:revision>
  <cp:lastPrinted>2025-07-16T16:18:00Z</cp:lastPrinted>
  <dcterms:created xsi:type="dcterms:W3CDTF">2025-07-17T12:57:00Z</dcterms:created>
  <dcterms:modified xsi:type="dcterms:W3CDTF">2025-07-17T12:57:00Z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0x010100D2B2DC4196B5384DB2EFF55FEB492E72</vt:lpwstr>
  </property>
</Properties>
</file>